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Магаданская область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811DE5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ОМСУКЧАНСКОГО </w:t>
      </w:r>
    </w:p>
    <w:p w:rsidR="009E47AA" w:rsidRPr="009E47AA" w:rsidRDefault="00642ABC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9E47AA" w:rsidRPr="009E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5BBC" wp14:editId="26FF191C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398ED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0A89" wp14:editId="0F67E890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3C544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64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10.05.2023       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   </w:t>
      </w:r>
      <w:r w:rsidR="00193E9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E47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пос. Омсукчан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1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финансов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42A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A2C60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  <w:r w:rsidR="008814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642ABC" w:rsidRDefault="005623A5" w:rsidP="0064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642ABC">
        <w:rPr>
          <w:rFonts w:ascii="Times New Roman" w:hAnsi="Times New Roman" w:cs="Times New Roman"/>
          <w:sz w:val="28"/>
          <w:szCs w:val="28"/>
        </w:rPr>
        <w:t>муниципального</w:t>
      </w:r>
      <w:r w:rsidR="003A2C6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E47AA">
        <w:rPr>
          <w:rFonts w:ascii="Times New Roman" w:hAnsi="Times New Roman" w:cs="Times New Roman"/>
          <w:sz w:val="28"/>
          <w:szCs w:val="28"/>
        </w:rPr>
        <w:t>приказу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642ABC" w:rsidRDefault="005623A5" w:rsidP="0064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2. </w:t>
      </w:r>
      <w:r w:rsidRPr="009E47A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814D7" w:rsidRPr="009E47AA">
        <w:rPr>
          <w:rFonts w:ascii="Times New Roman" w:hAnsi="Times New Roman" w:cs="Times New Roman"/>
          <w:sz w:val="28"/>
          <w:szCs w:val="28"/>
        </w:rPr>
        <w:t>приказ Комитета финансов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642ABC">
        <w:rPr>
          <w:rFonts w:ascii="Times New Roman" w:hAnsi="Times New Roman" w:cs="Times New Roman"/>
          <w:sz w:val="28"/>
          <w:szCs w:val="28"/>
        </w:rPr>
        <w:t>09</w:t>
      </w:r>
      <w:r w:rsidR="009E47AA" w:rsidRPr="009E47AA">
        <w:rPr>
          <w:rFonts w:ascii="Times New Roman" w:hAnsi="Times New Roman" w:cs="Times New Roman"/>
          <w:sz w:val="28"/>
          <w:szCs w:val="28"/>
        </w:rPr>
        <w:t>.0</w:t>
      </w:r>
      <w:r w:rsidR="00642ABC">
        <w:rPr>
          <w:rFonts w:ascii="Times New Roman" w:hAnsi="Times New Roman" w:cs="Times New Roman"/>
          <w:sz w:val="28"/>
          <w:szCs w:val="28"/>
        </w:rPr>
        <w:t>1.2020 № 1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«</w:t>
      </w:r>
      <w:r w:rsidRPr="009E47A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2ABC">
        <w:rPr>
          <w:rFonts w:ascii="Times New Roman" w:hAnsi="Times New Roman" w:cs="Times New Roman"/>
          <w:sz w:val="28"/>
          <w:szCs w:val="28"/>
        </w:rPr>
        <w:t>п</w:t>
      </w:r>
      <w:r w:rsidRPr="009E47AA">
        <w:rPr>
          <w:rFonts w:ascii="Times New Roman" w:hAnsi="Times New Roman" w:cs="Times New Roman"/>
          <w:sz w:val="28"/>
          <w:szCs w:val="28"/>
        </w:rPr>
        <w:t>орядка составления и ведения бюджетн</w:t>
      </w:r>
      <w:r w:rsidR="009E47AA" w:rsidRPr="009E47AA">
        <w:rPr>
          <w:rFonts w:ascii="Times New Roman" w:hAnsi="Times New Roman" w:cs="Times New Roman"/>
          <w:sz w:val="28"/>
          <w:szCs w:val="28"/>
        </w:rPr>
        <w:t>ой</w:t>
      </w:r>
      <w:r w:rsidRPr="009E47AA">
        <w:rPr>
          <w:rFonts w:ascii="Times New Roman" w:hAnsi="Times New Roman" w:cs="Times New Roman"/>
          <w:sz w:val="28"/>
          <w:szCs w:val="28"/>
        </w:rPr>
        <w:t xml:space="preserve"> смет</w:t>
      </w:r>
      <w:r w:rsidR="009E47AA" w:rsidRPr="009E47AA">
        <w:rPr>
          <w:rFonts w:ascii="Times New Roman" w:hAnsi="Times New Roman" w:cs="Times New Roman"/>
          <w:sz w:val="28"/>
          <w:szCs w:val="28"/>
        </w:rPr>
        <w:t>ы</w:t>
      </w:r>
      <w:r w:rsidRP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9E47AA" w:rsidRPr="009E47AA"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E47AA">
        <w:rPr>
          <w:rFonts w:ascii="Times New Roman" w:hAnsi="Times New Roman" w:cs="Times New Roman"/>
          <w:sz w:val="28"/>
          <w:szCs w:val="28"/>
        </w:rPr>
        <w:t>.</w:t>
      </w:r>
    </w:p>
    <w:p w:rsidR="00642ABC" w:rsidRPr="00642ABC" w:rsidRDefault="00642ABC" w:rsidP="0064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 w:rsidR="00193E9E">
        <w:rPr>
          <w:rFonts w:ascii="Times New Roman" w:hAnsi="Times New Roman" w:cs="Times New Roman"/>
          <w:sz w:val="28"/>
          <w:szCs w:val="28"/>
        </w:rPr>
        <w:t xml:space="preserve">вступает в силу с момента подписания и </w:t>
      </w:r>
      <w:r w:rsidRPr="00642ABC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в сети «Интернет»</w:t>
      </w:r>
      <w:r w:rsidR="00B6238F" w:rsidRPr="00B6238F">
        <w:rPr>
          <w:rFonts w:ascii="Times New Roman" w:hAnsi="Times New Roman" w:cs="Times New Roman"/>
          <w:sz w:val="28"/>
          <w:szCs w:val="28"/>
        </w:rPr>
        <w:t xml:space="preserve"> </w:t>
      </w:r>
      <w:r w:rsidR="00B6238F" w:rsidRPr="006B5F6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B6238F" w:rsidRPr="006B5F6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www.omsukchan-adm.ru</w:t>
        </w:r>
      </w:hyperlink>
      <w:r w:rsidR="00B6238F" w:rsidRPr="006B5F67">
        <w:rPr>
          <w:rFonts w:ascii="Times New Roman" w:hAnsi="Times New Roman" w:cs="Times New Roman"/>
          <w:sz w:val="28"/>
          <w:szCs w:val="28"/>
        </w:rPr>
        <w:t>)</w:t>
      </w:r>
      <w:r w:rsidRPr="00642ABC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642A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23A5" w:rsidRPr="003A2C60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постановления</w:t>
      </w:r>
      <w:r w:rsidR="005623A5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881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2ABC"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DF04EB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47AA" w:rsidRPr="00DF04EB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к </w:t>
      </w:r>
      <w:r w:rsidR="008814D7" w:rsidRPr="00DF04EB">
        <w:rPr>
          <w:rFonts w:ascii="Times New Roman" w:hAnsi="Times New Roman" w:cs="Times New Roman"/>
          <w:sz w:val="24"/>
          <w:szCs w:val="24"/>
        </w:rPr>
        <w:t>приказу К</w:t>
      </w:r>
      <w:r w:rsidR="009E47AA" w:rsidRPr="00DF04EB">
        <w:rPr>
          <w:rFonts w:ascii="Times New Roman" w:hAnsi="Times New Roman" w:cs="Times New Roman"/>
          <w:sz w:val="24"/>
          <w:szCs w:val="24"/>
        </w:rPr>
        <w:t>омитета финансов</w:t>
      </w:r>
    </w:p>
    <w:p w:rsidR="009E47AA" w:rsidRPr="00DF04EB" w:rsidRDefault="008814D7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 </w:t>
      </w:r>
      <w:r w:rsidR="00363ABF" w:rsidRPr="00DF04EB">
        <w:rPr>
          <w:rFonts w:ascii="Times New Roman" w:hAnsi="Times New Roman" w:cs="Times New Roman"/>
          <w:sz w:val="24"/>
          <w:szCs w:val="24"/>
        </w:rPr>
        <w:t>администрации</w:t>
      </w:r>
      <w:r w:rsidR="009E47AA" w:rsidRPr="00D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BF" w:rsidRPr="00DF04EB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63ABF" w:rsidRPr="00D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DF04EB" w:rsidRDefault="00642ABC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63ABF" w:rsidRPr="00DF04EB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от </w:t>
      </w:r>
      <w:r w:rsidR="00642ABC">
        <w:rPr>
          <w:rFonts w:ascii="Times New Roman" w:hAnsi="Times New Roman" w:cs="Times New Roman"/>
          <w:sz w:val="24"/>
          <w:szCs w:val="24"/>
        </w:rPr>
        <w:t xml:space="preserve"> </w:t>
      </w:r>
      <w:r w:rsidR="00B6238F">
        <w:rPr>
          <w:rFonts w:ascii="Times New Roman" w:hAnsi="Times New Roman" w:cs="Times New Roman"/>
          <w:sz w:val="24"/>
          <w:szCs w:val="24"/>
        </w:rPr>
        <w:t>10.05.2023</w:t>
      </w:r>
      <w:r w:rsidRPr="00DF04EB">
        <w:rPr>
          <w:rFonts w:ascii="Times New Roman" w:hAnsi="Times New Roman" w:cs="Times New Roman"/>
          <w:sz w:val="24"/>
          <w:szCs w:val="24"/>
        </w:rPr>
        <w:t xml:space="preserve">   №</w:t>
      </w:r>
      <w:r w:rsidR="00E329E9">
        <w:rPr>
          <w:rFonts w:ascii="Times New Roman" w:hAnsi="Times New Roman" w:cs="Times New Roman"/>
          <w:sz w:val="24"/>
          <w:szCs w:val="24"/>
        </w:rPr>
        <w:t xml:space="preserve"> </w:t>
      </w:r>
      <w:r w:rsidR="00B6238F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</w:t>
      </w:r>
      <w:r w:rsidR="00642AB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3ABF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42ABC">
        <w:rPr>
          <w:rFonts w:ascii="Times New Roman" w:hAnsi="Times New Roman" w:cs="Times New Roman"/>
          <w:sz w:val="28"/>
          <w:szCs w:val="28"/>
        </w:rPr>
        <w:t>муниципального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10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 w:rsidR="00363ABF" w:rsidRPr="00642ABC">
        <w:rPr>
          <w:rFonts w:ascii="Times New Roman" w:hAnsi="Times New Roman" w:cs="Times New Roman"/>
          <w:sz w:val="28"/>
          <w:szCs w:val="28"/>
        </w:rPr>
        <w:t>от 14.02.2018 № 26н «Об общих требованиях к порядку составления, утверждения и ведения бюджетных смет казенных учреждений».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Бюджетная смета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42A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DF04EB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DF04EB" w:rsidRPr="00DF04EB">
        <w:rPr>
          <w:rFonts w:ascii="Times New Roman" w:hAnsi="Times New Roman" w:cs="Times New Roman"/>
          <w:sz w:val="28"/>
          <w:szCs w:val="28"/>
        </w:rPr>
        <w:t>, отдельных целевых статей (направлений расходов)</w:t>
      </w:r>
      <w:r w:rsidR="005623A5" w:rsidRPr="00DF04EB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DF04EB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DF04EB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DF04EB">
        <w:rPr>
          <w:rFonts w:ascii="Times New Roman" w:hAnsi="Times New Roman" w:cs="Times New Roman"/>
          <w:sz w:val="28"/>
          <w:szCs w:val="28"/>
        </w:rPr>
        <w:t xml:space="preserve"> (подстатей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CF7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9E47AA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="005623A5" w:rsidRPr="009E47AA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9E47AA">
        <w:rPr>
          <w:rFonts w:ascii="Times New Roman" w:hAnsi="Times New Roman" w:cs="Times New Roman"/>
          <w:sz w:val="28"/>
          <w:szCs w:val="28"/>
        </w:rPr>
        <w:t>муниципаль</w:t>
      </w:r>
      <w:r w:rsidR="005623A5" w:rsidRPr="009E47AA">
        <w:rPr>
          <w:rFonts w:ascii="Times New Roman" w:hAnsi="Times New Roman" w:cs="Times New Roman"/>
          <w:sz w:val="28"/>
          <w:szCs w:val="28"/>
        </w:rPr>
        <w:t xml:space="preserve">ного долга, исполнение </w:t>
      </w:r>
      <w:r w:rsidRPr="009E47AA">
        <w:rPr>
          <w:rFonts w:ascii="Times New Roman" w:hAnsi="Times New Roman" w:cs="Times New Roman"/>
          <w:sz w:val="28"/>
          <w:szCs w:val="28"/>
        </w:rPr>
        <w:t>муниципаль</w:t>
      </w:r>
      <w:r w:rsidR="005623A5" w:rsidRPr="009E47AA">
        <w:rPr>
          <w:rFonts w:ascii="Times New Roman" w:hAnsi="Times New Roman" w:cs="Times New Roman"/>
          <w:sz w:val="28"/>
          <w:szCs w:val="28"/>
        </w:rPr>
        <w:t>ных гарантий, су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дебных актов в соответствии со </w:t>
      </w:r>
      <w:hyperlink r:id="rId14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5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814D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E47AA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3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814D7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8814D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6A3CFE">
        <w:rPr>
          <w:rFonts w:ascii="Times New Roman" w:hAnsi="Times New Roman" w:cs="Times New Roman"/>
          <w:sz w:val="28"/>
          <w:szCs w:val="28"/>
        </w:rPr>
        <w:t>Комитет</w:t>
      </w:r>
      <w:r w:rsidR="008814D7">
        <w:rPr>
          <w:rFonts w:ascii="Times New Roman" w:hAnsi="Times New Roman" w:cs="Times New Roman"/>
          <w:sz w:val="28"/>
          <w:szCs w:val="28"/>
        </w:rPr>
        <w:t>а</w:t>
      </w:r>
      <w:r w:rsidR="009E47AA">
        <w:rPr>
          <w:rFonts w:ascii="Times New Roman" w:hAnsi="Times New Roman" w:cs="Times New Roman"/>
          <w:sz w:val="28"/>
          <w:szCs w:val="28"/>
        </w:rPr>
        <w:t>, организующего составление проекта решения о бюджете,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Start w:id="7" w:name="P64"/>
      <w:bookmarkStart w:id="8" w:name="P66"/>
      <w:bookmarkEnd w:id="6"/>
      <w:bookmarkEnd w:id="7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="009E47AA">
        <w:rPr>
          <w:rFonts w:ascii="Times New Roman" w:hAnsi="Times New Roman" w:cs="Times New Roman"/>
          <w:sz w:val="28"/>
          <w:szCs w:val="28"/>
        </w:rPr>
        <w:t>а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5623A5" w:rsidRDefault="005623A5" w:rsidP="00881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2"/>
      <w:bookmarkEnd w:id="10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6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Pr="006A3CF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6222" w:rsidRPr="006A3CFE">
        <w:rPr>
          <w:rFonts w:ascii="Times New Roman" w:hAnsi="Times New Roman" w:cs="Times New Roman"/>
          <w:sz w:val="28"/>
          <w:szCs w:val="28"/>
        </w:rPr>
        <w:t>10-ти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="008814D7"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и направляет ее в </w:t>
      </w:r>
      <w:r w:rsidR="008814D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64DDA" w:rsidRPr="006A3CFE">
        <w:rPr>
          <w:rFonts w:ascii="Times New Roman" w:hAnsi="Times New Roman" w:cs="Times New Roman"/>
          <w:sz w:val="28"/>
          <w:szCs w:val="28"/>
        </w:rPr>
        <w:t>Комитет</w:t>
      </w:r>
      <w:bookmarkStart w:id="11" w:name="P75"/>
      <w:bookmarkEnd w:id="11"/>
      <w:r w:rsidR="008814D7">
        <w:rPr>
          <w:rFonts w:ascii="Times New Roman" w:hAnsi="Times New Roman" w:cs="Times New Roman"/>
          <w:sz w:val="28"/>
          <w:szCs w:val="28"/>
        </w:rPr>
        <w:t>а</w:t>
      </w:r>
      <w:r w:rsidR="009E47AA">
        <w:rPr>
          <w:rFonts w:ascii="Times New Roman" w:hAnsi="Times New Roman" w:cs="Times New Roman"/>
          <w:sz w:val="28"/>
          <w:szCs w:val="28"/>
        </w:rPr>
        <w:t>, осуществляющее контроль за предоставлением бюджетных смет от получателей бюджетных средств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8814D7" w:rsidRPr="006A3CFE" w:rsidRDefault="008814D7" w:rsidP="00881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8814D7">
        <w:rPr>
          <w:rFonts w:ascii="Times New Roman" w:hAnsi="Times New Roman" w:cs="Times New Roman"/>
          <w:sz w:val="28"/>
          <w:szCs w:val="28"/>
        </w:rPr>
        <w:t>Комитету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- сумм увеличения, отражающихся со </w:t>
      </w:r>
      <w:r w:rsidR="006B5D87" w:rsidRPr="006A3CFE">
        <w:rPr>
          <w:rFonts w:ascii="Times New Roman" w:hAnsi="Times New Roman" w:cs="Times New Roman"/>
          <w:sz w:val="28"/>
          <w:szCs w:val="28"/>
        </w:rPr>
        <w:lastRenderedPageBreak/>
        <w:t>знаком «плюс» и (или) уменьшения объемов сметных назначений, отражающихся со знаком «минус»:</w:t>
      </w:r>
    </w:p>
    <w:p w:rsidR="005623A5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8814D7">
        <w:rPr>
          <w:rFonts w:ascii="Times New Roman" w:hAnsi="Times New Roman" w:cs="Times New Roman"/>
          <w:sz w:val="28"/>
          <w:szCs w:val="28"/>
        </w:rPr>
        <w:t>Комитету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3"/>
      <w:bookmarkStart w:id="13" w:name="P87"/>
      <w:bookmarkEnd w:id="12"/>
      <w:bookmarkEnd w:id="1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C55A9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3.3. Внесение изменений в смету, требующих изменения показателей бюджетной росписи и лимитов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B2792C" w:rsidRPr="006A3CFE" w:rsidRDefault="00B2792C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4"/>
      <w:bookmarkEnd w:id="14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C55A99">
        <w:rPr>
          <w:rFonts w:ascii="Times New Roman" w:hAnsi="Times New Roman" w:cs="Times New Roman"/>
          <w:sz w:val="28"/>
          <w:szCs w:val="28"/>
        </w:rPr>
        <w:t>Комитетом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при: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изменении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7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показателей, формируемые при составлении проекта сметы, подписываются уполномоченным лицом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430AE8">
        <w:rPr>
          <w:rFonts w:ascii="Times New Roman" w:hAnsi="Times New Roman" w:cs="Times New Roman"/>
          <w:sz w:val="28"/>
          <w:szCs w:val="28"/>
        </w:rPr>
        <w:t xml:space="preserve"> и руководителем 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0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показателям 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8" w:name="P115"/>
      <w:bookmarkEnd w:id="18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814D7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5D144E" w:rsidRPr="006A3CFE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A3CFE">
        <w:rPr>
          <w:rFonts w:ascii="Times New Roman" w:hAnsi="Times New Roman" w:cs="Times New Roman"/>
          <w:sz w:val="28"/>
          <w:szCs w:val="28"/>
        </w:rPr>
        <w:t>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8814D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8"/>
      <w:bookmarkStart w:id="20" w:name="P131"/>
      <w:bookmarkStart w:id="21" w:name="P136"/>
      <w:bookmarkEnd w:id="19"/>
      <w:bookmarkEnd w:id="20"/>
      <w:bookmarkEnd w:id="21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317D3" w:rsidRDefault="005623A5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317D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AA11DF" w:rsidRPr="004D103A" w:rsidRDefault="005317D3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AA11DF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11DF" w:rsidRPr="004D103A" w:rsidRDefault="00AA11D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642ABC">
        <w:rPr>
          <w:rFonts w:ascii="Times New Roman" w:hAnsi="Times New Roman" w:cs="Times New Roman"/>
          <w:sz w:val="24"/>
          <w:szCs w:val="24"/>
        </w:rPr>
        <w:t>муниципального</w:t>
      </w:r>
      <w:r w:rsidRPr="004D103A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должности лица,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утверждающего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72"/>
      <w:bookmarkEnd w:id="22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415028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="00B65D65" w:rsidRPr="005317D3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9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317D3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F23166" w:rsidRPr="005317D3">
        <w:rPr>
          <w:rFonts w:ascii="Times New Roman" w:hAnsi="Times New Roman" w:cs="Times New Roman"/>
          <w:sz w:val="24"/>
          <w:szCs w:val="24"/>
        </w:rPr>
        <w:t>муниципаль</w:t>
      </w:r>
      <w:r w:rsidRPr="005317D3">
        <w:rPr>
          <w:rFonts w:ascii="Times New Roman" w:hAnsi="Times New Roman" w:cs="Times New Roman"/>
          <w:sz w:val="24"/>
          <w:szCs w:val="24"/>
        </w:rPr>
        <w:t xml:space="preserve">ного долга, исполнение </w:t>
      </w:r>
      <w:r w:rsidR="00F23166" w:rsidRPr="005317D3">
        <w:rPr>
          <w:rFonts w:ascii="Times New Roman" w:hAnsi="Times New Roman" w:cs="Times New Roman"/>
          <w:sz w:val="24"/>
          <w:szCs w:val="24"/>
        </w:rPr>
        <w:t>муниципаль</w:t>
      </w:r>
      <w:r w:rsidRPr="005317D3">
        <w:rPr>
          <w:rFonts w:ascii="Times New Roman" w:hAnsi="Times New Roman" w:cs="Times New Roman"/>
          <w:sz w:val="24"/>
          <w:szCs w:val="24"/>
        </w:rPr>
        <w:t>ных    гарантий, судебных актов в соответствии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0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21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17D3" w:rsidRDefault="00531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317D3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17D3" w:rsidRDefault="00531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317D3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317D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1C3796" w:rsidRPr="004D103A" w:rsidRDefault="005317D3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1C3796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642ABC">
        <w:rPr>
          <w:rFonts w:ascii="Times New Roman" w:hAnsi="Times New Roman" w:cs="Times New Roman"/>
          <w:sz w:val="24"/>
          <w:szCs w:val="24"/>
        </w:rPr>
        <w:t>муниципального</w:t>
      </w:r>
      <w:r w:rsidRPr="004D103A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1C3796" w:rsidRDefault="005623A5" w:rsidP="00A80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должности лица,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утверждающего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143"/>
      <w:bookmarkEnd w:id="23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</w:t>
      </w:r>
      <w:r w:rsidR="00B65D65" w:rsidRPr="005317D3">
        <w:rPr>
          <w:rFonts w:ascii="Times New Roman" w:hAnsi="Times New Roman" w:cs="Times New Roman"/>
          <w:sz w:val="24"/>
          <w:szCs w:val="24"/>
        </w:rPr>
        <w:t>средств</w:t>
      </w:r>
      <w:r w:rsidRPr="005317D3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3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4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 (+, -)</w:t>
            </w:r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5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 (+, -)</w:t>
            </w:r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317D3">
        <w:rPr>
          <w:rFonts w:ascii="Times New Roman" w:hAnsi="Times New Roman" w:cs="Times New Roman"/>
          <w:sz w:val="24"/>
          <w:szCs w:val="24"/>
        </w:rPr>
        <w:t>обслуживание муниципального долга, исполнение муниципальных    гарантий, судебных актов в соответствии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6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7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 (+, -)</w:t>
            </w:r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17D3" w:rsidRDefault="005317D3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7D3" w:rsidRPr="00F23166" w:rsidRDefault="005317D3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5317D3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7D3" w:rsidRDefault="005317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"__" ________ 20__ г.</w:t>
      </w: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E32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329E9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E329E9" w:rsidRDefault="00E329E9" w:rsidP="00E32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329E9" w:rsidRDefault="00E329E9" w:rsidP="00E32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3F5DB5" w:rsidRDefault="00E329E9" w:rsidP="003F5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</w:t>
      </w:r>
      <w:r w:rsidR="003F5DB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смет</w:t>
      </w:r>
      <w:r w:rsidR="003F5D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3F5DB5" w:rsidRDefault="003F5DB5" w:rsidP="003F5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E329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329E9" w:rsidRDefault="003F5DB5" w:rsidP="003F5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ABC">
        <w:rPr>
          <w:rFonts w:ascii="Times New Roman" w:hAnsi="Times New Roman" w:cs="Times New Roman"/>
          <w:sz w:val="24"/>
          <w:szCs w:val="24"/>
        </w:rPr>
        <w:t>муниципального</w:t>
      </w:r>
      <w:r w:rsidR="00E329E9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E329E9" w:rsidRDefault="00E329E9" w:rsidP="00E32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E32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9"/>
        <w:gridCol w:w="408"/>
        <w:gridCol w:w="287"/>
        <w:gridCol w:w="1019"/>
        <w:gridCol w:w="30"/>
        <w:gridCol w:w="747"/>
        <w:gridCol w:w="236"/>
        <w:gridCol w:w="787"/>
        <w:gridCol w:w="69"/>
        <w:gridCol w:w="236"/>
        <w:gridCol w:w="244"/>
        <w:gridCol w:w="857"/>
        <w:gridCol w:w="65"/>
        <w:gridCol w:w="170"/>
        <w:gridCol w:w="752"/>
        <w:gridCol w:w="149"/>
        <w:gridCol w:w="21"/>
        <w:gridCol w:w="767"/>
        <w:gridCol w:w="61"/>
        <w:gridCol w:w="175"/>
        <w:gridCol w:w="625"/>
        <w:gridCol w:w="197"/>
        <w:gridCol w:w="34"/>
        <w:gridCol w:w="236"/>
        <w:gridCol w:w="231"/>
        <w:gridCol w:w="10"/>
        <w:gridCol w:w="440"/>
        <w:gridCol w:w="16"/>
        <w:gridCol w:w="101"/>
        <w:gridCol w:w="850"/>
        <w:gridCol w:w="478"/>
        <w:gridCol w:w="656"/>
        <w:gridCol w:w="111"/>
        <w:gridCol w:w="31"/>
        <w:gridCol w:w="142"/>
        <w:gridCol w:w="25"/>
        <w:gridCol w:w="38"/>
        <w:gridCol w:w="31"/>
        <w:gridCol w:w="142"/>
        <w:gridCol w:w="238"/>
        <w:gridCol w:w="93"/>
        <w:gridCol w:w="352"/>
        <w:gridCol w:w="227"/>
        <w:gridCol w:w="9"/>
        <w:gridCol w:w="784"/>
        <w:gridCol w:w="471"/>
        <w:gridCol w:w="77"/>
        <w:gridCol w:w="664"/>
        <w:gridCol w:w="100"/>
        <w:gridCol w:w="136"/>
        <w:gridCol w:w="100"/>
        <w:gridCol w:w="625"/>
        <w:gridCol w:w="142"/>
        <w:gridCol w:w="94"/>
        <w:gridCol w:w="142"/>
        <w:gridCol w:w="714"/>
        <w:gridCol w:w="125"/>
        <w:gridCol w:w="17"/>
        <w:gridCol w:w="94"/>
        <w:gridCol w:w="31"/>
        <w:gridCol w:w="111"/>
        <w:gridCol w:w="3040"/>
        <w:gridCol w:w="961"/>
        <w:gridCol w:w="142"/>
        <w:gridCol w:w="8558"/>
        <w:gridCol w:w="1003"/>
      </w:tblGrid>
      <w:tr w:rsidR="00E329E9" w:rsidRPr="001F2149" w:rsidTr="00642ABC">
        <w:trPr>
          <w:gridAfter w:val="39"/>
          <w:wAfter w:w="21671" w:type="dxa"/>
          <w:trHeight w:val="286"/>
        </w:trPr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751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422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1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329E9" w:rsidRPr="001F2149" w:rsidTr="00642ABC">
        <w:trPr>
          <w:gridAfter w:val="19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5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5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329E9" w:rsidRPr="001F2149" w:rsidTr="00642ABC">
        <w:trPr>
          <w:gridAfter w:val="19"/>
          <w:wAfter w:w="16799" w:type="dxa"/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16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E329E9" w:rsidRPr="001F2149" w:rsidTr="00642ABC">
        <w:trPr>
          <w:gridAfter w:val="19"/>
          <w:wAfter w:w="16799" w:type="dxa"/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1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329E9" w:rsidRPr="001F2149" w:rsidTr="00642ABC">
        <w:trPr>
          <w:gridAfter w:val="19"/>
          <w:wAfter w:w="16799" w:type="dxa"/>
          <w:trHeight w:val="6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1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E329E9" w:rsidRPr="001F2149" w:rsidTr="00642ABC">
        <w:trPr>
          <w:gridAfter w:val="19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E329E9" w:rsidRPr="001F2149" w:rsidTr="00642ABC">
        <w:trPr>
          <w:gridAfter w:val="19"/>
          <w:wAfter w:w="16799" w:type="dxa"/>
          <w:trHeight w:val="1305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479"/>
        </w:trPr>
        <w:tc>
          <w:tcPr>
            <w:tcW w:w="14693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начислений на выплаты по оплате труда в соответствии с действующими на дату составления бюджетной сметы нормативными документами.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14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1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642ABC">
        <w:trPr>
          <w:gridAfter w:val="19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74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222 "Транспортные услуги"</w:t>
            </w:r>
          </w:p>
        </w:tc>
      </w:tr>
      <w:tr w:rsidR="00E329E9" w:rsidRPr="001F2149" w:rsidTr="00642ABC">
        <w:trPr>
          <w:gridAfter w:val="19"/>
          <w:wAfter w:w="16799" w:type="dxa"/>
          <w:trHeight w:val="2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2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642ABC">
        <w:trPr>
          <w:gridAfter w:val="19"/>
          <w:wAfter w:w="16799" w:type="dxa"/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172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57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8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329E9" w:rsidRPr="001F2149" w:rsidTr="00642ABC">
        <w:trPr>
          <w:gridAfter w:val="19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25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329E9" w:rsidRPr="001F2149" w:rsidTr="00642ABC">
        <w:trPr>
          <w:gridAfter w:val="19"/>
          <w:wAfter w:w="16799" w:type="dxa"/>
          <w:trHeight w:val="1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(дата, №)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690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329E9" w:rsidRPr="001F2149" w:rsidTr="00642ABC">
        <w:trPr>
          <w:gridAfter w:val="19"/>
          <w:wAfter w:w="16799" w:type="dxa"/>
          <w:trHeight w:val="8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9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9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10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9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8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E5" w:rsidRDefault="00DB1EE5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67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67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1469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297 "Иные выплаты текущего характера организациям"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642ABC">
        <w:trPr>
          <w:gridAfter w:val="19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642ABC">
        <w:trPr>
          <w:gridAfter w:val="19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371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8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93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6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329E9" w:rsidRPr="008943D9" w:rsidTr="00642ABC">
        <w:trPr>
          <w:gridAfter w:val="4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4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329E9" w:rsidRPr="008943D9" w:rsidTr="00642ABC">
        <w:trPr>
          <w:gridAfter w:val="9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9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58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EE5" w:rsidRDefault="00E329E9" w:rsidP="0064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</w:p>
          <w:p w:rsidR="00E329E9" w:rsidRPr="008943D9" w:rsidRDefault="00E329E9" w:rsidP="0064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ABC" w:rsidRDefault="00642ABC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2ABC" w:rsidRPr="008943D9" w:rsidRDefault="00642ABC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4177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329E9" w:rsidRPr="008943D9" w:rsidTr="00642ABC">
        <w:trPr>
          <w:gridAfter w:val="20"/>
          <w:wAfter w:w="16876" w:type="dxa"/>
          <w:trHeight w:val="11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(дата, №)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58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EE5" w:rsidRDefault="00DB1EE5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EE5" w:rsidRDefault="00DB1EE5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29E9" w:rsidRPr="008943D9" w:rsidTr="00642ABC">
        <w:trPr>
          <w:gridAfter w:val="2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344 "Увеличение стоимости строительных материалов"</w:t>
            </w:r>
          </w:p>
        </w:tc>
      </w:tr>
      <w:tr w:rsidR="00E329E9" w:rsidRPr="008943D9" w:rsidTr="00642ABC">
        <w:trPr>
          <w:gridAfter w:val="1"/>
          <w:wAfter w:w="10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3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329E9" w:rsidRPr="008943D9" w:rsidTr="00642ABC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3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14616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E5" w:rsidRDefault="00DB1EE5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297 "Иные выплаты текущего характера организациям"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20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20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329E9" w:rsidRDefault="00E329E9" w:rsidP="00E32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E329E9" w:rsidRPr="008943D9" w:rsidTr="00642ABC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329E9" w:rsidRPr="008943D9" w:rsidTr="00642ABC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(дата, №)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642ABC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642ABC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642ABC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Расчет по расходам на исполнение публичных обязательств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DB1EE5">
        <w:trPr>
          <w:gridAfter w:val="2"/>
          <w:wAfter w:w="1156" w:type="dxa"/>
          <w:trHeight w:val="906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DB1A16" w:rsidTr="00642ABC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DB1EE5">
        <w:trPr>
          <w:gridAfter w:val="2"/>
          <w:wAfter w:w="1156" w:type="dxa"/>
          <w:trHeight w:val="894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DB1A16" w:rsidTr="00642ABC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329E9" w:rsidRPr="00DB1A16" w:rsidTr="00642ABC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64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329E9" w:rsidRPr="00DB1A16" w:rsidTr="00642ABC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642ABC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642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329E9" w:rsidSect="00E329E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329E9" w:rsidRPr="003A2C60" w:rsidRDefault="00E329E9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329E9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1403D1"/>
    <w:rsid w:val="00193E9E"/>
    <w:rsid w:val="001C3796"/>
    <w:rsid w:val="00264DDA"/>
    <w:rsid w:val="00363ABF"/>
    <w:rsid w:val="003A2C60"/>
    <w:rsid w:val="003F5DB5"/>
    <w:rsid w:val="00415028"/>
    <w:rsid w:val="00417E2B"/>
    <w:rsid w:val="00430AE8"/>
    <w:rsid w:val="004806AD"/>
    <w:rsid w:val="004D103A"/>
    <w:rsid w:val="005317D3"/>
    <w:rsid w:val="005623A5"/>
    <w:rsid w:val="005D144E"/>
    <w:rsid w:val="00610C14"/>
    <w:rsid w:val="00642ABC"/>
    <w:rsid w:val="006A3CFE"/>
    <w:rsid w:val="006B5D87"/>
    <w:rsid w:val="00763F99"/>
    <w:rsid w:val="00811DE5"/>
    <w:rsid w:val="008306A8"/>
    <w:rsid w:val="00866811"/>
    <w:rsid w:val="008814D7"/>
    <w:rsid w:val="008A113F"/>
    <w:rsid w:val="009E47AA"/>
    <w:rsid w:val="00A80A4A"/>
    <w:rsid w:val="00AA11DF"/>
    <w:rsid w:val="00B2792C"/>
    <w:rsid w:val="00B6238F"/>
    <w:rsid w:val="00B65D65"/>
    <w:rsid w:val="00B95BEC"/>
    <w:rsid w:val="00C55A99"/>
    <w:rsid w:val="00C66222"/>
    <w:rsid w:val="00CA41E2"/>
    <w:rsid w:val="00CE5947"/>
    <w:rsid w:val="00CF72E0"/>
    <w:rsid w:val="00D875F7"/>
    <w:rsid w:val="00DB1EE5"/>
    <w:rsid w:val="00DF04EB"/>
    <w:rsid w:val="00E329E9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3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8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6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A7D1B5AA0CF2D02B2B00A84B3803719071C4F02CDF735E3EB54E138D671B7BFA5C789749D17C876A817E9478u7hAW" TargetMode="External"/><Relationship Id="rId7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2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7" Type="http://schemas.openxmlformats.org/officeDocument/2006/relationships/hyperlink" Target="consultantplus://offline/ref=94A7D1B5AA0CF2D02B2B00A84B3803719276CDFD2FDC735E3EB54E138D671B7BFA5C789749D17C876A817E9478u7hAW" TargetMode="External"/><Relationship Id="rId25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1B5AA0CF2D02B2B00A84B3803719071C7F028D5735E3EB54E138D671B7BFA5C789749D17C876A817E9478u7hAW" TargetMode="External"/><Relationship Id="rId20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1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24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7D1B5AA0CF2D02B2B00A84B3803719071C4F02CDF735E3EB54E138D671B7BFA5C789749D17C876A817E9478u7hAW" TargetMode="External"/><Relationship Id="rId23" Type="http://schemas.openxmlformats.org/officeDocument/2006/relationships/hyperlink" Target="consultantplus://offline/ref=94A7D1B5AA0CF2D02B2B00A84B3803719276CDFD2FDC735E3EB54E138D671B7BFA5C789749D17C876A817E9478u7hA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9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2" Type="http://schemas.openxmlformats.org/officeDocument/2006/relationships/hyperlink" Target="consultantplus://offline/ref=94A7D1B5AA0CF2D02B2B00A84B3803719071C7F028D5735E3EB54E138D671B7BFA5C789749D17C876A817E9478u7hAW" TargetMode="External"/><Relationship Id="rId27" Type="http://schemas.openxmlformats.org/officeDocument/2006/relationships/hyperlink" Target="consultantplus://offline/ref=94A7D1B5AA0CF2D02B2B00A84B3803719071C4F02CDF735E3EB54E138D671B7BFA5C789749D17C876A817E9478u7h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8DC7-ED08-4DC5-80BF-5B4F371F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34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13</cp:revision>
  <cp:lastPrinted>2023-06-26T03:11:00Z</cp:lastPrinted>
  <dcterms:created xsi:type="dcterms:W3CDTF">2019-11-21T08:00:00Z</dcterms:created>
  <dcterms:modified xsi:type="dcterms:W3CDTF">2023-06-26T03:17:00Z</dcterms:modified>
</cp:coreProperties>
</file>