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5C" w:rsidRPr="00FF6C2F" w:rsidRDefault="00AE5554" w:rsidP="00197E63">
      <w:pPr>
        <w:pStyle w:val="a5"/>
        <w:rPr>
          <w:sz w:val="28"/>
          <w:szCs w:val="28"/>
        </w:rPr>
      </w:pPr>
      <w:r>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DE385C" w:rsidRPr="00FF6C2F" w:rsidRDefault="00DE385C" w:rsidP="00DE385C">
      <w:pPr>
        <w:spacing w:after="60" w:line="240" w:lineRule="exact"/>
        <w:rPr>
          <w:sz w:val="28"/>
          <w:szCs w:val="28"/>
        </w:rPr>
      </w:pPr>
    </w:p>
    <w:p w:rsidR="00DE385C" w:rsidRPr="00DE385C" w:rsidRDefault="00DE385C" w:rsidP="00DE385C">
      <w:pPr>
        <w:jc w:val="center"/>
        <w:rPr>
          <w:b/>
          <w:sz w:val="28"/>
        </w:rPr>
      </w:pPr>
      <w:r w:rsidRPr="00DE385C">
        <w:rPr>
          <w:b/>
          <w:sz w:val="28"/>
        </w:rPr>
        <w:t>ИНФОРМАЦИОННОЕ СООБЩЕНИЕ № 1</w:t>
      </w:r>
    </w:p>
    <w:p w:rsidR="00DE385C" w:rsidRPr="00DE385C" w:rsidRDefault="00DE385C" w:rsidP="00DE385C">
      <w:pPr>
        <w:jc w:val="center"/>
        <w:rPr>
          <w:b/>
          <w:sz w:val="28"/>
        </w:rPr>
      </w:pPr>
      <w:proofErr w:type="gramStart"/>
      <w:r w:rsidRPr="00DE385C">
        <w:rPr>
          <w:b/>
          <w:sz w:val="28"/>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sidRPr="00DE385C">
        <w:rPr>
          <w:b/>
          <w:sz w:val="28"/>
        </w:rPr>
        <w:t xml:space="preserve"> муниципального образования «Омсукчанский городской округ»</w:t>
      </w:r>
    </w:p>
    <w:p w:rsidR="00DE385C" w:rsidRDefault="00DE385C" w:rsidP="00DE385C">
      <w:pPr>
        <w:spacing w:line="240" w:lineRule="exact"/>
        <w:rPr>
          <w:sz w:val="28"/>
          <w:szCs w:val="28"/>
        </w:rPr>
      </w:pPr>
    </w:p>
    <w:p w:rsidR="00DE385C" w:rsidRDefault="00DE385C" w:rsidP="00CD5A1D">
      <w:pPr>
        <w:jc w:val="center"/>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103075" w:rsidRDefault="00197E63" w:rsidP="0074530A">
            <w:pPr>
              <w:ind w:right="140"/>
              <w:rPr>
                <w:color w:val="000000"/>
              </w:rPr>
            </w:pPr>
            <w:hyperlink r:id="rId7" w:history="1">
              <w:r w:rsidR="00103075" w:rsidRPr="009442D4">
                <w:rPr>
                  <w:rStyle w:val="a3"/>
                </w:rPr>
                <w:t>https://www.rts-tender.ru</w:t>
              </w:r>
            </w:hyperlink>
            <w:r w:rsidR="00103075" w:rsidRPr="009442D4">
              <w:rPr>
                <w:color w:val="000000"/>
              </w:rPr>
              <w:t>.</w:t>
            </w:r>
          </w:p>
        </w:tc>
      </w:tr>
      <w:tr w:rsidR="00B65E07" w:rsidTr="009B2368">
        <w:tc>
          <w:tcPr>
            <w:tcW w:w="3085" w:type="dxa"/>
            <w:vAlign w:val="center"/>
          </w:tcPr>
          <w:p w:rsidR="00B65E07" w:rsidRDefault="00B65E07" w:rsidP="009B2368">
            <w:pPr>
              <w:tabs>
                <w:tab w:val="left" w:pos="142"/>
                <w:tab w:val="left" w:pos="720"/>
              </w:tabs>
              <w:ind w:right="118"/>
            </w:pPr>
            <w:r>
              <w:t>Дата и время начала подачи (приема) заявок:</w:t>
            </w:r>
          </w:p>
        </w:tc>
        <w:tc>
          <w:tcPr>
            <w:tcW w:w="6616" w:type="dxa"/>
            <w:vAlign w:val="center"/>
          </w:tcPr>
          <w:p w:rsidR="00B65E07" w:rsidRDefault="00103075" w:rsidP="00103075">
            <w:pPr>
              <w:tabs>
                <w:tab w:val="left" w:pos="142"/>
              </w:tabs>
              <w:ind w:right="118"/>
              <w:jc w:val="both"/>
            </w:pPr>
            <w:r>
              <w:t>9</w:t>
            </w:r>
            <w:r w:rsidR="00EB74B5">
              <w:t xml:space="preserve"> </w:t>
            </w:r>
            <w:r>
              <w:t>апреля</w:t>
            </w:r>
            <w:r w:rsidR="00842F91">
              <w:t xml:space="preserve"> 2022</w:t>
            </w:r>
            <w:r w:rsidR="0074530A">
              <w:t xml:space="preserve"> г. в 09:00 по магаданскому времени (01:</w:t>
            </w:r>
            <w:r w:rsidR="00B65E07">
              <w:t>00 по московскому времени). Подача заявок осуществляется круглосуточно.</w:t>
            </w:r>
          </w:p>
        </w:tc>
      </w:tr>
      <w:tr w:rsidR="00B65E07" w:rsidTr="009B2368">
        <w:tc>
          <w:tcPr>
            <w:tcW w:w="3085" w:type="dxa"/>
            <w:vAlign w:val="center"/>
          </w:tcPr>
          <w:p w:rsidR="00B65E07" w:rsidRDefault="00B65E07" w:rsidP="009B2368">
            <w:pPr>
              <w:tabs>
                <w:tab w:val="left" w:pos="142"/>
                <w:tab w:val="left" w:pos="720"/>
              </w:tabs>
              <w:ind w:right="118"/>
            </w:pPr>
            <w:r>
              <w:t>Дата и время окончания подачи (приема) заявок:</w:t>
            </w:r>
          </w:p>
        </w:tc>
        <w:tc>
          <w:tcPr>
            <w:tcW w:w="6616" w:type="dxa"/>
            <w:vAlign w:val="center"/>
          </w:tcPr>
          <w:p w:rsidR="00B65E07" w:rsidRDefault="00103075" w:rsidP="00103075">
            <w:pPr>
              <w:tabs>
                <w:tab w:val="left" w:pos="142"/>
              </w:tabs>
              <w:ind w:right="118"/>
              <w:jc w:val="both"/>
            </w:pPr>
            <w:r>
              <w:t>10</w:t>
            </w:r>
            <w:r w:rsidR="00EB74B5">
              <w:t xml:space="preserve"> </w:t>
            </w:r>
            <w:r>
              <w:t>мая</w:t>
            </w:r>
            <w:r w:rsidR="00842F91">
              <w:t xml:space="preserve"> 2022</w:t>
            </w:r>
            <w:r w:rsidR="00B65E07">
              <w:t xml:space="preserve"> г. в </w:t>
            </w:r>
            <w:r>
              <w:t>12</w:t>
            </w:r>
            <w:r w:rsidR="0074530A">
              <w:t>:00 по магаданскому времени (04</w:t>
            </w:r>
            <w:r w:rsidR="00B65E07">
              <w:t xml:space="preserve">.00 по московскому времени).  </w:t>
            </w:r>
          </w:p>
        </w:tc>
      </w:tr>
      <w:tr w:rsidR="00B65E07" w:rsidTr="009B2368">
        <w:tc>
          <w:tcPr>
            <w:tcW w:w="3085" w:type="dxa"/>
            <w:vAlign w:val="center"/>
          </w:tcPr>
          <w:p w:rsidR="00B65E07" w:rsidRDefault="00B65E07" w:rsidP="009B2368">
            <w:pPr>
              <w:tabs>
                <w:tab w:val="left" w:pos="142"/>
                <w:tab w:val="left" w:pos="720"/>
              </w:tabs>
              <w:ind w:right="118"/>
            </w:pPr>
            <w:r>
              <w:t>Дата определения участников:</w:t>
            </w:r>
          </w:p>
        </w:tc>
        <w:tc>
          <w:tcPr>
            <w:tcW w:w="6616" w:type="dxa"/>
            <w:vAlign w:val="center"/>
          </w:tcPr>
          <w:p w:rsidR="00B65E07" w:rsidRDefault="0074530A" w:rsidP="0074530A">
            <w:pPr>
              <w:tabs>
                <w:tab w:val="left" w:pos="142"/>
              </w:tabs>
              <w:ind w:right="118"/>
              <w:jc w:val="both"/>
            </w:pPr>
            <w:r>
              <w:t>11</w:t>
            </w:r>
            <w:r w:rsidR="00EB74B5">
              <w:t xml:space="preserve"> </w:t>
            </w:r>
            <w:r>
              <w:t>мая</w:t>
            </w:r>
            <w:r w:rsidR="00842F91">
              <w:t xml:space="preserve"> 2022</w:t>
            </w:r>
            <w:r>
              <w:t xml:space="preserve"> г. в 12:00 по магаданскому времени (04:</w:t>
            </w:r>
            <w:r w:rsidR="00B65E07">
              <w:t>00 по московскому времени).</w:t>
            </w:r>
          </w:p>
        </w:tc>
      </w:tr>
      <w:tr w:rsidR="00B65E07" w:rsidTr="009B2368">
        <w:tc>
          <w:tcPr>
            <w:tcW w:w="3085" w:type="dxa"/>
            <w:vAlign w:val="center"/>
          </w:tcPr>
          <w:p w:rsidR="00B65E07" w:rsidRDefault="00B65E07" w:rsidP="009B2368">
            <w:pPr>
              <w:tabs>
                <w:tab w:val="left" w:pos="142"/>
                <w:tab w:val="left" w:pos="720"/>
              </w:tabs>
              <w:ind w:right="118"/>
            </w:pPr>
            <w:r>
              <w:t>Место подведения итогов продажи:</w:t>
            </w:r>
          </w:p>
        </w:tc>
        <w:tc>
          <w:tcPr>
            <w:tcW w:w="6616" w:type="dxa"/>
            <w:vAlign w:val="center"/>
          </w:tcPr>
          <w:p w:rsidR="00B65E07" w:rsidRPr="001C53DD" w:rsidRDefault="00197E63" w:rsidP="009B2368">
            <w:pPr>
              <w:tabs>
                <w:tab w:val="left" w:pos="142"/>
              </w:tabs>
              <w:ind w:right="118"/>
              <w:jc w:val="both"/>
              <w:rPr>
                <w:color w:val="0043C8"/>
              </w:rPr>
            </w:pPr>
            <w:hyperlink r:id="rId8" w:history="1">
              <w:r w:rsidR="0074530A" w:rsidRPr="009442D4">
                <w:rPr>
                  <w:rStyle w:val="a3"/>
                </w:rPr>
                <w:t>https://www.rts-tender.ru</w:t>
              </w:r>
            </w:hyperlink>
            <w:r w:rsidR="0074530A" w:rsidRPr="009442D4">
              <w:rPr>
                <w:color w:val="000000"/>
              </w:rPr>
              <w:t>.</w:t>
            </w:r>
          </w:p>
        </w:tc>
      </w:tr>
      <w:tr w:rsidR="00B65E07" w:rsidTr="009B2368">
        <w:tc>
          <w:tcPr>
            <w:tcW w:w="3085" w:type="dxa"/>
            <w:vAlign w:val="center"/>
          </w:tcPr>
          <w:p w:rsidR="00B65E07" w:rsidRDefault="00B65E07" w:rsidP="009B2368">
            <w:pPr>
              <w:tabs>
                <w:tab w:val="left" w:pos="142"/>
                <w:tab w:val="left" w:pos="720"/>
              </w:tabs>
              <w:ind w:right="118"/>
            </w:pPr>
            <w:r>
              <w:t>Дата, время и срок проведения продажи:</w:t>
            </w:r>
          </w:p>
        </w:tc>
        <w:tc>
          <w:tcPr>
            <w:tcW w:w="6616" w:type="dxa"/>
            <w:vAlign w:val="center"/>
          </w:tcPr>
          <w:p w:rsidR="00B65E07" w:rsidRDefault="0074530A" w:rsidP="00504B5F">
            <w:pPr>
              <w:tabs>
                <w:tab w:val="left" w:pos="142"/>
              </w:tabs>
              <w:ind w:right="118"/>
              <w:jc w:val="both"/>
            </w:pPr>
            <w:r>
              <w:t>12 мая</w:t>
            </w:r>
            <w:r w:rsidR="00EC600D">
              <w:t xml:space="preserve"> </w:t>
            </w:r>
            <w:r w:rsidR="00B65E07">
              <w:t>202</w:t>
            </w:r>
            <w:r w:rsidR="00504B5F">
              <w:t>2</w:t>
            </w:r>
            <w:r>
              <w:t xml:space="preserve"> г. с 11:00 по магаданскому времени (03:</w:t>
            </w:r>
            <w:r w:rsidR="00B65E07">
              <w:t>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6616"/>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vAlign w:val="center"/>
          </w:tcPr>
          <w:p w:rsidR="0074530A" w:rsidRPr="009442D4" w:rsidRDefault="0074530A" w:rsidP="0074530A">
            <w:pPr>
              <w:jc w:val="both"/>
            </w:pPr>
            <w:r w:rsidRPr="009442D4">
              <w:t>Комитет по управлению муниципальным имуществом администрации Омсукчанского городского округа,</w:t>
            </w:r>
          </w:p>
          <w:p w:rsidR="0074530A" w:rsidRPr="009442D4" w:rsidRDefault="0074530A" w:rsidP="0074530A">
            <w:pPr>
              <w:jc w:val="both"/>
            </w:pPr>
            <w:r w:rsidRPr="009442D4">
              <w:t>Адрес: 686410, Магаданская область, пос. Омсукчан, ул. Ленина д. 19, тел. 8(41346)91-4-14, 8(41346)92-3-68,  тел./факс 91-4-53.</w:t>
            </w:r>
          </w:p>
          <w:p w:rsidR="0074530A" w:rsidRDefault="0074530A" w:rsidP="0074530A">
            <w:pPr>
              <w:jc w:val="both"/>
            </w:pPr>
            <w:r>
              <w:t>Контактное лицо: руководитель</w:t>
            </w:r>
            <w:r w:rsidRPr="009442D4">
              <w:t xml:space="preserve"> Комитета по управлению муниципальным имуществом администрации Омсукчанского городского округа </w:t>
            </w:r>
            <w:r>
              <w:t>Леонтьева Екатерина Геннадьевна</w:t>
            </w:r>
            <w:r w:rsidRPr="009442D4">
              <w:t>, тел.8(41346)91-4-14.</w:t>
            </w:r>
          </w:p>
          <w:p w:rsidR="00FD2C1A" w:rsidRPr="00FD2C1A" w:rsidRDefault="00FD2C1A" w:rsidP="008B2FB8"/>
        </w:tc>
      </w:tr>
      <w:tr w:rsidR="00FB7027" w:rsidTr="003D7E2F">
        <w:tc>
          <w:tcPr>
            <w:tcW w:w="3085" w:type="dxa"/>
            <w:vAlign w:val="center"/>
          </w:tcPr>
          <w:p w:rsidR="00FB7027" w:rsidRDefault="00316B52" w:rsidP="000D4D3D">
            <w:pPr>
              <w:tabs>
                <w:tab w:val="left" w:pos="142"/>
                <w:tab w:val="left" w:pos="720"/>
              </w:tabs>
              <w:ind w:right="118"/>
            </w:pPr>
            <w:r>
              <w:t>Оператор</w:t>
            </w:r>
            <w:r w:rsidR="008A44E6">
              <w:t xml:space="preserve"> </w:t>
            </w:r>
            <w:r>
              <w:t xml:space="preserve">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vAlign w:val="center"/>
          </w:tcPr>
          <w:p w:rsidR="0074530A" w:rsidRDefault="0074530A" w:rsidP="0074530A">
            <w:pPr>
              <w:ind w:left="40" w:right="140"/>
              <w:jc w:val="both"/>
              <w:rPr>
                <w:color w:val="000000"/>
              </w:rPr>
            </w:pPr>
            <w:r w:rsidRPr="009442D4">
              <w:rPr>
                <w:color w:val="000000"/>
              </w:rPr>
              <w:t xml:space="preserve">ООО «РТС-тендер», официальный сайт в сети в «Интернет» </w:t>
            </w:r>
            <w:hyperlink r:id="rId9" w:history="1">
              <w:r w:rsidRPr="009442D4">
                <w:rPr>
                  <w:rStyle w:val="a3"/>
                </w:rPr>
                <w:t>https://www.rts-tender.ru</w:t>
              </w:r>
            </w:hyperlink>
            <w:r w:rsidRPr="009442D4">
              <w:rPr>
                <w:color w:val="000000"/>
              </w:rPr>
              <w:t>.</w:t>
            </w:r>
          </w:p>
          <w:p w:rsidR="00677F5F" w:rsidRPr="00677F5F" w:rsidRDefault="00677F5F" w:rsidP="0074530A">
            <w:pPr>
              <w:tabs>
                <w:tab w:val="left" w:pos="142"/>
                <w:tab w:val="left" w:pos="720"/>
              </w:tabs>
              <w:ind w:right="118"/>
              <w:rPr>
                <w:sz w:val="8"/>
                <w:szCs w:val="8"/>
              </w:rPr>
            </w:pPr>
          </w:p>
        </w:tc>
      </w:tr>
      <w:tr w:rsidR="00065A9A" w:rsidTr="003D7E2F">
        <w:tc>
          <w:tcPr>
            <w:tcW w:w="9701" w:type="dxa"/>
            <w:gridSpan w:val="2"/>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A7366E">
              <w:t xml:space="preserve"> </w:t>
            </w:r>
            <w:r w:rsidR="009104E9">
              <w:t>лота</w:t>
            </w:r>
          </w:p>
        </w:tc>
        <w:tc>
          <w:tcPr>
            <w:tcW w:w="6616" w:type="dxa"/>
            <w:vAlign w:val="center"/>
          </w:tcPr>
          <w:p w:rsidR="00E563BD" w:rsidRPr="00BE017C" w:rsidRDefault="0074530A" w:rsidP="0074530A">
            <w:pPr>
              <w:tabs>
                <w:tab w:val="left" w:pos="142"/>
              </w:tabs>
              <w:ind w:right="118"/>
              <w:jc w:val="both"/>
            </w:pPr>
            <w:r>
              <w:t>П</w:t>
            </w:r>
            <w:r w:rsidRPr="0074530A">
              <w:t>раво заключения  договора на размещение нестационарного торгового объекта (далее НТО) на территории муниципального  образования «Омсукчанской городской округ»</w:t>
            </w:r>
            <w:r w:rsidR="00842F91">
              <w:t xml:space="preserve"> </w:t>
            </w:r>
            <w:r w:rsidR="00EB74B5">
              <w:t xml:space="preserve">по адресу: </w:t>
            </w:r>
            <w:r w:rsidRPr="0074530A">
              <w:t>Магаданская область пос. Омсукчан район между магазинами «Чип» и «Мясной двор</w:t>
            </w:r>
            <w:r>
              <w:t>»</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vAlign w:val="center"/>
          </w:tcPr>
          <w:p w:rsidR="00065A9A" w:rsidRDefault="00F36303" w:rsidP="00F36303">
            <w:pPr>
              <w:tabs>
                <w:tab w:val="left" w:pos="142"/>
                <w:tab w:val="left" w:pos="540"/>
              </w:tabs>
              <w:jc w:val="both"/>
            </w:pPr>
            <w:r>
              <w:t xml:space="preserve">Постановление администрации Омсукчанского городского округа </w:t>
            </w:r>
            <w:r w:rsidRPr="00F36303">
              <w:t>от</w:t>
            </w:r>
            <w:r>
              <w:t xml:space="preserve"> 04.04.2020 №205 «О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«Омсукчанской городской округ» в электронной форме</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vAlign w:val="center"/>
          </w:tcPr>
          <w:p w:rsidR="00777AAA" w:rsidRDefault="0074530A" w:rsidP="00386DF6">
            <w:pPr>
              <w:tabs>
                <w:tab w:val="left" w:pos="142"/>
                <w:tab w:val="left" w:pos="540"/>
              </w:tabs>
            </w:pPr>
            <w:r w:rsidRPr="0074530A">
              <w:t>Магаданская область пос. Омсукчан район между магазинами «Чип» и «Мясной двор</w:t>
            </w:r>
            <w:r>
              <w:t>»</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vAlign w:val="center"/>
          </w:tcPr>
          <w:p w:rsidR="00777AAA" w:rsidRDefault="0074530A" w:rsidP="0074530A">
            <w:pPr>
              <w:tabs>
                <w:tab w:val="left" w:pos="142"/>
                <w:tab w:val="left" w:pos="540"/>
              </w:tabs>
            </w:pPr>
            <w:r>
              <w:t>№</w:t>
            </w:r>
            <w:r w:rsidRPr="0074530A">
              <w:t>1 (в соответствии с приложением №1 к постановлению администрации Омсукчанского городского округа от 21.03.2022 г. №156 «Об утверждении схемы размещения нестационарных торговых объектов на территории Омсукчанского городского округа»);</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vAlign w:val="center"/>
          </w:tcPr>
          <w:p w:rsidR="009104E9" w:rsidRDefault="009104E9" w:rsidP="00386DF6">
            <w:pPr>
              <w:tabs>
                <w:tab w:val="left" w:pos="142"/>
                <w:tab w:val="left" w:pos="540"/>
              </w:tabs>
            </w:pPr>
            <w:r>
              <w:t>Павильон</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vAlign w:val="center"/>
          </w:tcPr>
          <w:p w:rsidR="009104E9" w:rsidRDefault="008C4CE1" w:rsidP="0074530A">
            <w:pPr>
              <w:tabs>
                <w:tab w:val="left" w:pos="142"/>
                <w:tab w:val="left" w:pos="540"/>
              </w:tabs>
            </w:pPr>
            <w:r>
              <w:t>Р</w:t>
            </w:r>
            <w:r w:rsidR="0074530A">
              <w:t xml:space="preserve">еализация продовольственных </w:t>
            </w:r>
            <w:r w:rsidRPr="008C4CE1">
              <w:t>товаров</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vAlign w:val="center"/>
          </w:tcPr>
          <w:p w:rsidR="009104E9" w:rsidRDefault="0074530A" w:rsidP="008007F0">
            <w:pPr>
              <w:tabs>
                <w:tab w:val="left" w:pos="142"/>
                <w:tab w:val="left" w:pos="540"/>
              </w:tabs>
            </w:pPr>
            <w:r>
              <w:t>5</w:t>
            </w:r>
            <w:r w:rsidR="008C4CE1">
              <w:t>0</w:t>
            </w:r>
            <w:r w:rsidR="00386DF6">
              <w:t xml:space="preserve"> </w:t>
            </w:r>
            <w:r w:rsidR="000F45A7">
              <w:t>к</w:t>
            </w:r>
            <w:r w:rsidR="009104E9">
              <w:t>в.м</w:t>
            </w:r>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vAlign w:val="center"/>
          </w:tcPr>
          <w:p w:rsidR="009104E9" w:rsidRDefault="0074530A" w:rsidP="008C4CE1">
            <w:pPr>
              <w:tabs>
                <w:tab w:val="left" w:pos="142"/>
                <w:tab w:val="left" w:pos="540"/>
              </w:tabs>
            </w:pPr>
            <w:r w:rsidRPr="0074530A">
              <w:t>49:02:030302</w:t>
            </w:r>
          </w:p>
        </w:tc>
      </w:tr>
      <w:tr w:rsidR="009104E9" w:rsidTr="003D7E2F">
        <w:tc>
          <w:tcPr>
            <w:tcW w:w="3085" w:type="dxa"/>
            <w:vAlign w:val="center"/>
          </w:tcPr>
          <w:p w:rsidR="009104E9" w:rsidRDefault="009104E9" w:rsidP="008007F0">
            <w:pPr>
              <w:tabs>
                <w:tab w:val="left" w:pos="142"/>
                <w:tab w:val="left" w:pos="720"/>
              </w:tabs>
              <w:ind w:right="118"/>
            </w:pPr>
            <w:r>
              <w:t>Срок действия договора</w:t>
            </w:r>
          </w:p>
        </w:tc>
        <w:tc>
          <w:tcPr>
            <w:tcW w:w="6616" w:type="dxa"/>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t>Начальная</w:t>
            </w:r>
            <w:r w:rsidR="009104E9">
              <w:t xml:space="preserve"> (минимальная) ежемесячная</w:t>
            </w:r>
            <w:r>
              <w:t xml:space="preserve"> цена</w:t>
            </w:r>
            <w:r w:rsidR="009104E9">
              <w:t xml:space="preserve"> договора</w:t>
            </w:r>
            <w:r>
              <w:t>:</w:t>
            </w:r>
          </w:p>
        </w:tc>
        <w:tc>
          <w:tcPr>
            <w:tcW w:w="6616" w:type="dxa"/>
            <w:vAlign w:val="center"/>
          </w:tcPr>
          <w:p w:rsidR="00065A9A" w:rsidRDefault="0074530A" w:rsidP="003656D7">
            <w:pPr>
              <w:tabs>
                <w:tab w:val="left" w:pos="142"/>
                <w:tab w:val="left" w:pos="540"/>
              </w:tabs>
            </w:pPr>
            <w:r w:rsidRPr="0074530A">
              <w:t>1028,33 (одна тысяча двадцать восемь рублей</w:t>
            </w:r>
            <w:r w:rsidR="003656D7">
              <w:t>) рублей 83 коп.</w:t>
            </w:r>
          </w:p>
        </w:tc>
      </w:tr>
      <w:tr w:rsidR="00065A9A" w:rsidTr="003D7E2F">
        <w:tc>
          <w:tcPr>
            <w:tcW w:w="3085" w:type="dxa"/>
            <w:vAlign w:val="center"/>
          </w:tcPr>
          <w:p w:rsidR="00065A9A" w:rsidRDefault="00691F9E" w:rsidP="008007F0">
            <w:pPr>
              <w:tabs>
                <w:tab w:val="left" w:pos="142"/>
                <w:tab w:val="left" w:pos="720"/>
              </w:tabs>
              <w:ind w:right="118"/>
            </w:pPr>
            <w:r>
              <w:t>Шаг аукциона:</w:t>
            </w:r>
          </w:p>
        </w:tc>
        <w:tc>
          <w:tcPr>
            <w:tcW w:w="6616" w:type="dxa"/>
            <w:vAlign w:val="center"/>
          </w:tcPr>
          <w:p w:rsidR="00065A9A" w:rsidRDefault="0074530A" w:rsidP="0074530A">
            <w:pPr>
              <w:tabs>
                <w:tab w:val="left" w:pos="142"/>
                <w:tab w:val="left" w:pos="540"/>
              </w:tabs>
            </w:pPr>
            <w:r>
              <w:t>102,83</w:t>
            </w:r>
            <w:r w:rsidR="00311244">
              <w:t xml:space="preserve"> </w:t>
            </w:r>
            <w:r w:rsidR="00C1640E">
              <w:t>(</w:t>
            </w:r>
            <w:r>
              <w:t>сто два рубля</w:t>
            </w:r>
            <w:r w:rsidR="00C1640E">
              <w:t>) рубл</w:t>
            </w:r>
            <w:r w:rsidR="003656D7">
              <w:t>я 83 коп.</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vAlign w:val="center"/>
          </w:tcPr>
          <w:p w:rsidR="00065A9A" w:rsidRDefault="003656D7" w:rsidP="008007F0">
            <w:pPr>
              <w:tabs>
                <w:tab w:val="left" w:pos="142"/>
                <w:tab w:val="left" w:pos="540"/>
              </w:tabs>
            </w:pPr>
            <w:r w:rsidRPr="0074530A">
              <w:t>1028,33 (одна тысяча двадцать восемь рублей</w:t>
            </w:r>
            <w:r>
              <w:t>) рублей 83 коп.</w:t>
            </w:r>
          </w:p>
        </w:tc>
      </w:tr>
    </w:tbl>
    <w:p w:rsidR="009104E9" w:rsidRPr="008564BD" w:rsidRDefault="009104E9" w:rsidP="009104E9">
      <w:pPr>
        <w:autoSpaceDE w:val="0"/>
        <w:autoSpaceDN w:val="0"/>
        <w:adjustRightInd w:val="0"/>
        <w:ind w:firstLine="540"/>
        <w:jc w:val="both"/>
        <w:rPr>
          <w:bCs/>
          <w:sz w:val="16"/>
          <w:szCs w:val="16"/>
        </w:rPr>
      </w:pPr>
      <w:r>
        <w:rPr>
          <w:b/>
        </w:rPr>
        <w:lastRenderedPageBreak/>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w:t>
      </w:r>
      <w:r w:rsidR="003656D7">
        <w:rPr>
          <w:bCs/>
          <w:sz w:val="16"/>
          <w:szCs w:val="16"/>
        </w:rPr>
        <w:t>Омсукчанский городской округ</w:t>
      </w:r>
      <w:r w:rsidRPr="008564BD">
        <w:rPr>
          <w:bCs/>
          <w:sz w:val="16"/>
          <w:szCs w:val="16"/>
        </w:rPr>
        <w:t xml:space="preserve">», утвержденной постановлением </w:t>
      </w:r>
      <w:r w:rsidR="003656D7">
        <w:rPr>
          <w:bCs/>
          <w:sz w:val="16"/>
          <w:szCs w:val="16"/>
        </w:rPr>
        <w:t>администрации Омсукчанского городского округа от 21.03.2022 г. №156</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3656D7" w:rsidRDefault="003656D7" w:rsidP="003656D7">
      <w:pPr>
        <w:tabs>
          <w:tab w:val="left" w:pos="142"/>
          <w:tab w:val="left" w:pos="720"/>
        </w:tabs>
        <w:ind w:right="118"/>
        <w:jc w:val="both"/>
      </w:pPr>
    </w:p>
    <w:p w:rsidR="003656D7" w:rsidRDefault="003656D7" w:rsidP="003656D7">
      <w:pPr>
        <w:tabs>
          <w:tab w:val="left" w:pos="142"/>
          <w:tab w:val="left" w:pos="720"/>
        </w:tabs>
        <w:ind w:right="118"/>
        <w:jc w:val="both"/>
      </w:pPr>
      <w:r>
        <w:tab/>
      </w:r>
      <w:r>
        <w:tab/>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3656D7" w:rsidRDefault="003656D7" w:rsidP="003656D7">
      <w:pPr>
        <w:tabs>
          <w:tab w:val="left" w:pos="142"/>
          <w:tab w:val="left" w:pos="720"/>
        </w:tabs>
        <w:ind w:right="118"/>
        <w:jc w:val="both"/>
      </w:pPr>
      <w:r>
        <w:tab/>
      </w:r>
      <w: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C53DD" w:rsidRPr="00AC6443" w:rsidRDefault="003656D7" w:rsidP="003656D7">
      <w:pPr>
        <w:tabs>
          <w:tab w:val="left" w:pos="142"/>
          <w:tab w:val="left" w:pos="720"/>
        </w:tabs>
        <w:ind w:right="118"/>
        <w:jc w:val="both"/>
        <w:rPr>
          <w:color w:val="000000" w:themeColor="text1"/>
        </w:rPr>
      </w:pPr>
      <w:r>
        <w:t>Регистрация на электронной площадке проводится в соответствии с Регламентом электронной площадки.</w:t>
      </w:r>
      <w:r w:rsidR="009B2368">
        <w:rPr>
          <w:b/>
          <w:i/>
        </w:rPr>
        <w:tab/>
        <w:t xml:space="preserve">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3656D7" w:rsidRDefault="003656D7" w:rsidP="003656D7">
      <w:pPr>
        <w:autoSpaceDE w:val="0"/>
        <w:autoSpaceDN w:val="0"/>
        <w:adjustRightInd w:val="0"/>
        <w:ind w:firstLine="540"/>
        <w:jc w:val="both"/>
      </w:pPr>
      <w:r>
        <w:t>Претендентами на участие в электронном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а также предоставление бытовых услуг, предоставление услуг по ремонту и техническому обслуживанию автотранспорта, предоставление услуг общественного питания.</w:t>
      </w:r>
    </w:p>
    <w:p w:rsidR="003656D7" w:rsidRDefault="003656D7" w:rsidP="003656D7">
      <w:pPr>
        <w:autoSpaceDE w:val="0"/>
        <w:autoSpaceDN w:val="0"/>
        <w:adjustRightInd w:val="0"/>
        <w:ind w:firstLine="540"/>
        <w:jc w:val="both"/>
      </w:pPr>
      <w:r>
        <w:t>Претендент на участие в электронном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электронном аукционе не должна быть приостановлена в порядке, предусмотренном Кодексом Российской Федерации об административных правонарушениях Российской Федерации.</w:t>
      </w:r>
    </w:p>
    <w:p w:rsidR="009B2368" w:rsidRDefault="009B2368" w:rsidP="003656D7">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0" w:history="1">
        <w:r w:rsidR="003656D7" w:rsidRPr="009442D4">
          <w:rPr>
            <w:rStyle w:val="a3"/>
          </w:rPr>
          <w:t>https://www.rts-tender.ru</w:t>
        </w:r>
      </w:hyperlink>
      <w:r w:rsidR="003656D7" w:rsidRPr="009442D4">
        <w:rPr>
          <w:color w:val="000000"/>
        </w:rPr>
        <w:t>.</w:t>
      </w:r>
    </w:p>
    <w:p w:rsidR="003656D7" w:rsidRPr="003656D7" w:rsidRDefault="003656D7" w:rsidP="003656D7">
      <w:pPr>
        <w:shd w:val="clear" w:color="auto" w:fill="FFFFFF"/>
        <w:ind w:firstLine="708"/>
        <w:jc w:val="both"/>
      </w:pPr>
      <w:r w:rsidRPr="003656D7">
        <w:t xml:space="preserve">Реквизиты </w:t>
      </w:r>
      <w:proofErr w:type="gramStart"/>
      <w:r w:rsidRPr="003656D7">
        <w:t>для перечисления денежных средств за участие в электронных</w:t>
      </w:r>
      <w:r w:rsidRPr="003656D7">
        <w:rPr>
          <w:lang w:val="en-US"/>
        </w:rPr>
        <w:t> </w:t>
      </w:r>
      <w:r w:rsidRPr="003656D7">
        <w:t>процедурах по имущественным торгам на электронной площадке</w:t>
      </w:r>
      <w:proofErr w:type="gramEnd"/>
      <w:r w:rsidRPr="003656D7">
        <w:t xml:space="preserve"> РТС-тендер: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4"/>
      </w:tblGrid>
      <w:tr w:rsidR="003656D7" w:rsidRPr="003656D7" w:rsidTr="00142A95">
        <w:trPr>
          <w:trHeight w:val="361"/>
        </w:trPr>
        <w:tc>
          <w:tcPr>
            <w:tcW w:w="2694" w:type="dxa"/>
            <w:shd w:val="clear" w:color="auto" w:fill="auto"/>
            <w:hideMark/>
          </w:tcPr>
          <w:p w:rsidR="003656D7" w:rsidRPr="003656D7" w:rsidRDefault="003656D7" w:rsidP="003656D7">
            <w:pPr>
              <w:shd w:val="clear" w:color="auto" w:fill="FFFFFF"/>
              <w:jc w:val="both"/>
              <w:rPr>
                <w:lang w:val="en-US"/>
              </w:rPr>
            </w:pPr>
            <w:proofErr w:type="spellStart"/>
            <w:r w:rsidRPr="003656D7">
              <w:rPr>
                <w:lang w:val="en-US"/>
              </w:rPr>
              <w:t>Получатель</w:t>
            </w:r>
            <w:proofErr w:type="spellEnd"/>
          </w:p>
        </w:tc>
        <w:tc>
          <w:tcPr>
            <w:tcW w:w="6804" w:type="dxa"/>
            <w:shd w:val="clear" w:color="auto" w:fill="auto"/>
            <w:hideMark/>
          </w:tcPr>
          <w:p w:rsidR="003656D7" w:rsidRPr="003656D7" w:rsidRDefault="003656D7" w:rsidP="003656D7">
            <w:pPr>
              <w:shd w:val="clear" w:color="auto" w:fill="FFFFFF"/>
              <w:jc w:val="both"/>
              <w:rPr>
                <w:lang w:val="en-US"/>
              </w:rPr>
            </w:pPr>
            <w:r w:rsidRPr="003656D7">
              <w:rPr>
                <w:lang w:val="en-US"/>
              </w:rPr>
              <w:t>ООО «РТС-</w:t>
            </w:r>
            <w:proofErr w:type="spellStart"/>
            <w:r w:rsidRPr="003656D7">
              <w:rPr>
                <w:lang w:val="en-US"/>
              </w:rPr>
              <w:t>тендер</w:t>
            </w:r>
            <w:proofErr w:type="spellEnd"/>
            <w:r w:rsidRPr="003656D7">
              <w:rPr>
                <w:lang w:val="en-US"/>
              </w:rPr>
              <w:t>»</w:t>
            </w:r>
          </w:p>
        </w:tc>
      </w:tr>
      <w:tr w:rsidR="003656D7" w:rsidRPr="003656D7" w:rsidTr="00142A95">
        <w:trPr>
          <w:trHeight w:val="410"/>
        </w:trPr>
        <w:tc>
          <w:tcPr>
            <w:tcW w:w="2694" w:type="dxa"/>
            <w:shd w:val="clear" w:color="auto" w:fill="auto"/>
            <w:hideMark/>
          </w:tcPr>
          <w:p w:rsidR="003656D7" w:rsidRPr="003656D7" w:rsidRDefault="003656D7" w:rsidP="003656D7">
            <w:pPr>
              <w:shd w:val="clear" w:color="auto" w:fill="FFFFFF"/>
              <w:jc w:val="both"/>
              <w:rPr>
                <w:lang w:val="en-US"/>
              </w:rPr>
            </w:pPr>
            <w:proofErr w:type="spellStart"/>
            <w:r w:rsidRPr="003656D7">
              <w:rPr>
                <w:lang w:val="en-US"/>
              </w:rPr>
              <w:t>Наименование</w:t>
            </w:r>
            <w:proofErr w:type="spellEnd"/>
            <w:r w:rsidRPr="003656D7">
              <w:rPr>
                <w:lang w:val="en-US"/>
              </w:rPr>
              <w:t xml:space="preserve"> </w:t>
            </w:r>
            <w:proofErr w:type="spellStart"/>
            <w:r w:rsidRPr="003656D7">
              <w:rPr>
                <w:lang w:val="en-US"/>
              </w:rPr>
              <w:t>банка</w:t>
            </w:r>
            <w:proofErr w:type="spellEnd"/>
          </w:p>
        </w:tc>
        <w:tc>
          <w:tcPr>
            <w:tcW w:w="6804" w:type="dxa"/>
            <w:shd w:val="clear" w:color="auto" w:fill="auto"/>
            <w:hideMark/>
          </w:tcPr>
          <w:p w:rsidR="003656D7" w:rsidRPr="003656D7" w:rsidRDefault="003656D7" w:rsidP="003656D7">
            <w:pPr>
              <w:shd w:val="clear" w:color="auto" w:fill="FFFFFF"/>
              <w:jc w:val="both"/>
              <w:rPr>
                <w:lang w:val="en-US"/>
              </w:rPr>
            </w:pPr>
            <w:proofErr w:type="spellStart"/>
            <w:r w:rsidRPr="003656D7">
              <w:rPr>
                <w:lang w:val="en-US"/>
              </w:rPr>
              <w:t>Филиал</w:t>
            </w:r>
            <w:proofErr w:type="spellEnd"/>
            <w:r w:rsidRPr="003656D7">
              <w:rPr>
                <w:lang w:val="en-US"/>
              </w:rPr>
              <w:t xml:space="preserve"> «</w:t>
            </w:r>
            <w:proofErr w:type="spellStart"/>
            <w:r w:rsidRPr="003656D7">
              <w:rPr>
                <w:lang w:val="en-US"/>
              </w:rPr>
              <w:t>Корпоративный</w:t>
            </w:r>
            <w:proofErr w:type="spellEnd"/>
            <w:r w:rsidRPr="003656D7">
              <w:rPr>
                <w:lang w:val="en-US"/>
              </w:rPr>
              <w:t>» ПАО «</w:t>
            </w:r>
            <w:proofErr w:type="spellStart"/>
            <w:r w:rsidRPr="003656D7">
              <w:rPr>
                <w:lang w:val="en-US"/>
              </w:rPr>
              <w:t>Совкомбанк</w:t>
            </w:r>
            <w:proofErr w:type="spellEnd"/>
            <w:r w:rsidRPr="003656D7">
              <w:rPr>
                <w:lang w:val="en-US"/>
              </w:rPr>
              <w:t>»</w:t>
            </w:r>
          </w:p>
        </w:tc>
      </w:tr>
      <w:tr w:rsidR="003656D7" w:rsidRPr="003656D7" w:rsidTr="00142A95">
        <w:trPr>
          <w:trHeight w:val="401"/>
        </w:trPr>
        <w:tc>
          <w:tcPr>
            <w:tcW w:w="2694" w:type="dxa"/>
            <w:shd w:val="clear" w:color="auto" w:fill="auto"/>
            <w:hideMark/>
          </w:tcPr>
          <w:p w:rsidR="003656D7" w:rsidRPr="003656D7" w:rsidRDefault="003656D7" w:rsidP="003656D7">
            <w:pPr>
              <w:shd w:val="clear" w:color="auto" w:fill="FFFFFF"/>
              <w:jc w:val="both"/>
              <w:rPr>
                <w:lang w:val="en-US"/>
              </w:rPr>
            </w:pPr>
            <w:proofErr w:type="spellStart"/>
            <w:r w:rsidRPr="003656D7">
              <w:rPr>
                <w:lang w:val="en-US"/>
              </w:rPr>
              <w:t>Расчетный</w:t>
            </w:r>
            <w:proofErr w:type="spellEnd"/>
            <w:r w:rsidRPr="003656D7">
              <w:rPr>
                <w:lang w:val="en-US"/>
              </w:rPr>
              <w:t xml:space="preserve"> </w:t>
            </w:r>
            <w:proofErr w:type="spellStart"/>
            <w:r w:rsidRPr="003656D7">
              <w:rPr>
                <w:lang w:val="en-US"/>
              </w:rPr>
              <w:t>счёт</w:t>
            </w:r>
            <w:proofErr w:type="spellEnd"/>
          </w:p>
        </w:tc>
        <w:tc>
          <w:tcPr>
            <w:tcW w:w="6804" w:type="dxa"/>
            <w:shd w:val="clear" w:color="auto" w:fill="auto"/>
            <w:hideMark/>
          </w:tcPr>
          <w:p w:rsidR="003656D7" w:rsidRPr="003656D7" w:rsidRDefault="003656D7" w:rsidP="003656D7">
            <w:pPr>
              <w:shd w:val="clear" w:color="auto" w:fill="FFFFFF"/>
              <w:jc w:val="both"/>
              <w:rPr>
                <w:lang w:val="en-US"/>
              </w:rPr>
            </w:pPr>
            <w:r w:rsidRPr="003656D7">
              <w:rPr>
                <w:lang w:val="en-US"/>
              </w:rPr>
              <w:t>40702810512030016362</w:t>
            </w:r>
          </w:p>
        </w:tc>
      </w:tr>
      <w:tr w:rsidR="003656D7" w:rsidRPr="003656D7" w:rsidTr="00142A95">
        <w:trPr>
          <w:trHeight w:val="415"/>
        </w:trPr>
        <w:tc>
          <w:tcPr>
            <w:tcW w:w="2694" w:type="dxa"/>
            <w:shd w:val="clear" w:color="auto" w:fill="auto"/>
            <w:hideMark/>
          </w:tcPr>
          <w:p w:rsidR="003656D7" w:rsidRPr="003656D7" w:rsidRDefault="003656D7" w:rsidP="003656D7">
            <w:pPr>
              <w:shd w:val="clear" w:color="auto" w:fill="FFFFFF"/>
              <w:jc w:val="both"/>
              <w:rPr>
                <w:lang w:val="en-US"/>
              </w:rPr>
            </w:pPr>
            <w:proofErr w:type="spellStart"/>
            <w:r w:rsidRPr="003656D7">
              <w:rPr>
                <w:lang w:val="en-US"/>
              </w:rPr>
              <w:t>Корр</w:t>
            </w:r>
            <w:proofErr w:type="spellEnd"/>
            <w:r w:rsidRPr="003656D7">
              <w:rPr>
                <w:lang w:val="en-US"/>
              </w:rPr>
              <w:t xml:space="preserve">. </w:t>
            </w:r>
            <w:proofErr w:type="spellStart"/>
            <w:r w:rsidRPr="003656D7">
              <w:rPr>
                <w:lang w:val="en-US"/>
              </w:rPr>
              <w:t>счёт</w:t>
            </w:r>
            <w:proofErr w:type="spellEnd"/>
          </w:p>
        </w:tc>
        <w:tc>
          <w:tcPr>
            <w:tcW w:w="6804" w:type="dxa"/>
            <w:shd w:val="clear" w:color="auto" w:fill="auto"/>
            <w:hideMark/>
          </w:tcPr>
          <w:p w:rsidR="003656D7" w:rsidRPr="003656D7" w:rsidRDefault="003656D7" w:rsidP="003656D7">
            <w:pPr>
              <w:shd w:val="clear" w:color="auto" w:fill="FFFFFF"/>
              <w:jc w:val="both"/>
              <w:rPr>
                <w:lang w:val="en-US"/>
              </w:rPr>
            </w:pPr>
            <w:r w:rsidRPr="003656D7">
              <w:rPr>
                <w:lang w:val="en-US"/>
              </w:rPr>
              <w:t>30101810445250000360</w:t>
            </w:r>
          </w:p>
        </w:tc>
      </w:tr>
      <w:tr w:rsidR="003656D7" w:rsidRPr="003656D7" w:rsidTr="00142A95">
        <w:trPr>
          <w:trHeight w:val="406"/>
        </w:trPr>
        <w:tc>
          <w:tcPr>
            <w:tcW w:w="2694" w:type="dxa"/>
            <w:shd w:val="clear" w:color="auto" w:fill="auto"/>
            <w:hideMark/>
          </w:tcPr>
          <w:p w:rsidR="003656D7" w:rsidRPr="003656D7" w:rsidRDefault="003656D7" w:rsidP="003656D7">
            <w:pPr>
              <w:shd w:val="clear" w:color="auto" w:fill="FFFFFF"/>
              <w:jc w:val="both"/>
              <w:rPr>
                <w:lang w:val="en-US"/>
              </w:rPr>
            </w:pPr>
            <w:r w:rsidRPr="003656D7">
              <w:rPr>
                <w:lang w:val="en-US"/>
              </w:rPr>
              <w:t>БИК</w:t>
            </w:r>
          </w:p>
        </w:tc>
        <w:tc>
          <w:tcPr>
            <w:tcW w:w="6804" w:type="dxa"/>
            <w:shd w:val="clear" w:color="auto" w:fill="auto"/>
            <w:hideMark/>
          </w:tcPr>
          <w:p w:rsidR="003656D7" w:rsidRPr="003656D7" w:rsidRDefault="003656D7" w:rsidP="003656D7">
            <w:pPr>
              <w:shd w:val="clear" w:color="auto" w:fill="FFFFFF"/>
              <w:jc w:val="both"/>
              <w:rPr>
                <w:lang w:val="en-US"/>
              </w:rPr>
            </w:pPr>
            <w:r w:rsidRPr="003656D7">
              <w:rPr>
                <w:lang w:val="en-US"/>
              </w:rPr>
              <w:t>044525360</w:t>
            </w:r>
          </w:p>
        </w:tc>
      </w:tr>
      <w:tr w:rsidR="003656D7" w:rsidRPr="003656D7" w:rsidTr="00142A95">
        <w:trPr>
          <w:trHeight w:val="426"/>
        </w:trPr>
        <w:tc>
          <w:tcPr>
            <w:tcW w:w="2694" w:type="dxa"/>
            <w:shd w:val="clear" w:color="auto" w:fill="auto"/>
            <w:hideMark/>
          </w:tcPr>
          <w:p w:rsidR="003656D7" w:rsidRPr="003656D7" w:rsidRDefault="003656D7" w:rsidP="003656D7">
            <w:pPr>
              <w:shd w:val="clear" w:color="auto" w:fill="FFFFFF"/>
              <w:jc w:val="both"/>
              <w:rPr>
                <w:lang w:val="en-US"/>
              </w:rPr>
            </w:pPr>
            <w:r w:rsidRPr="003656D7">
              <w:rPr>
                <w:lang w:val="en-US"/>
              </w:rPr>
              <w:t>ИНН</w:t>
            </w:r>
          </w:p>
        </w:tc>
        <w:tc>
          <w:tcPr>
            <w:tcW w:w="6804" w:type="dxa"/>
            <w:shd w:val="clear" w:color="auto" w:fill="auto"/>
            <w:hideMark/>
          </w:tcPr>
          <w:p w:rsidR="003656D7" w:rsidRPr="003656D7" w:rsidRDefault="003656D7" w:rsidP="003656D7">
            <w:pPr>
              <w:shd w:val="clear" w:color="auto" w:fill="FFFFFF"/>
              <w:jc w:val="both"/>
              <w:rPr>
                <w:lang w:val="en-US"/>
              </w:rPr>
            </w:pPr>
            <w:r w:rsidRPr="003656D7">
              <w:rPr>
                <w:lang w:val="en-US"/>
              </w:rPr>
              <w:t>7710357167</w:t>
            </w:r>
          </w:p>
        </w:tc>
      </w:tr>
      <w:tr w:rsidR="003656D7" w:rsidRPr="003656D7" w:rsidTr="00142A95">
        <w:trPr>
          <w:trHeight w:val="403"/>
        </w:trPr>
        <w:tc>
          <w:tcPr>
            <w:tcW w:w="2694" w:type="dxa"/>
            <w:shd w:val="clear" w:color="auto" w:fill="auto"/>
            <w:hideMark/>
          </w:tcPr>
          <w:p w:rsidR="003656D7" w:rsidRPr="003656D7" w:rsidRDefault="003656D7" w:rsidP="003656D7">
            <w:pPr>
              <w:shd w:val="clear" w:color="auto" w:fill="FFFFFF"/>
              <w:jc w:val="both"/>
              <w:rPr>
                <w:lang w:val="en-US"/>
              </w:rPr>
            </w:pPr>
            <w:r w:rsidRPr="003656D7">
              <w:rPr>
                <w:lang w:val="en-US"/>
              </w:rPr>
              <w:t>КПП</w:t>
            </w:r>
          </w:p>
        </w:tc>
        <w:tc>
          <w:tcPr>
            <w:tcW w:w="6804" w:type="dxa"/>
            <w:shd w:val="clear" w:color="auto" w:fill="auto"/>
            <w:hideMark/>
          </w:tcPr>
          <w:p w:rsidR="003656D7" w:rsidRPr="003656D7" w:rsidRDefault="003656D7" w:rsidP="003656D7">
            <w:pPr>
              <w:shd w:val="clear" w:color="auto" w:fill="FFFFFF"/>
              <w:jc w:val="both"/>
              <w:rPr>
                <w:lang w:val="en-US"/>
              </w:rPr>
            </w:pPr>
            <w:r w:rsidRPr="003656D7">
              <w:rPr>
                <w:lang w:val="en-US"/>
              </w:rPr>
              <w:t>773001001</w:t>
            </w:r>
          </w:p>
        </w:tc>
      </w:tr>
      <w:tr w:rsidR="003656D7" w:rsidRPr="003656D7" w:rsidTr="00142A95">
        <w:trPr>
          <w:trHeight w:val="600"/>
        </w:trPr>
        <w:tc>
          <w:tcPr>
            <w:tcW w:w="2694" w:type="dxa"/>
            <w:shd w:val="clear" w:color="auto" w:fill="auto"/>
            <w:hideMark/>
          </w:tcPr>
          <w:p w:rsidR="003656D7" w:rsidRPr="003656D7" w:rsidRDefault="003656D7" w:rsidP="003656D7">
            <w:pPr>
              <w:shd w:val="clear" w:color="auto" w:fill="FFFFFF"/>
              <w:jc w:val="both"/>
              <w:rPr>
                <w:lang w:val="en-US"/>
              </w:rPr>
            </w:pPr>
            <w:proofErr w:type="spellStart"/>
            <w:r w:rsidRPr="003656D7">
              <w:rPr>
                <w:lang w:val="en-US"/>
              </w:rPr>
              <w:t>Назначение</w:t>
            </w:r>
            <w:proofErr w:type="spellEnd"/>
            <w:r w:rsidRPr="003656D7">
              <w:rPr>
                <w:lang w:val="en-US"/>
              </w:rPr>
              <w:t xml:space="preserve"> </w:t>
            </w:r>
            <w:proofErr w:type="spellStart"/>
            <w:r w:rsidRPr="003656D7">
              <w:rPr>
                <w:lang w:val="en-US"/>
              </w:rPr>
              <w:t>платежа</w:t>
            </w:r>
            <w:proofErr w:type="spellEnd"/>
          </w:p>
        </w:tc>
        <w:tc>
          <w:tcPr>
            <w:tcW w:w="6804" w:type="dxa"/>
            <w:shd w:val="clear" w:color="auto" w:fill="auto"/>
            <w:hideMark/>
          </w:tcPr>
          <w:p w:rsidR="003656D7" w:rsidRPr="003656D7" w:rsidRDefault="003656D7" w:rsidP="003656D7">
            <w:pPr>
              <w:shd w:val="clear" w:color="auto" w:fill="FFFFFF"/>
              <w:jc w:val="both"/>
            </w:pPr>
            <w:r w:rsidRPr="003656D7">
              <w:t>Внесение гарантийного обеспечения по Соглашению о внесении гарантийного</w:t>
            </w:r>
            <w:r w:rsidRPr="003656D7">
              <w:br/>
              <w:t>обеспечения, № аналитического счета _________, без НДС.</w:t>
            </w:r>
          </w:p>
        </w:tc>
      </w:tr>
    </w:tbl>
    <w:p w:rsidR="00E219F6" w:rsidRDefault="0026394F" w:rsidP="00F36303">
      <w:pPr>
        <w:shd w:val="clear" w:color="auto" w:fill="FFFFFF"/>
        <w:ind w:firstLine="539"/>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 xml:space="preserve">слению в установленном </w:t>
      </w:r>
      <w:r>
        <w:lastRenderedPageBreak/>
        <w:t>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E219F6">
      <w:pPr>
        <w:ind w:firstLine="709"/>
        <w:contextualSpacing/>
        <w:jc w:val="center"/>
        <w:rPr>
          <w:b/>
        </w:rPr>
      </w:pPr>
    </w:p>
    <w:p w:rsidR="00E219F6" w:rsidRPr="00FF630A" w:rsidRDefault="00FF630A" w:rsidP="00E219F6">
      <w:pPr>
        <w:widowControl w:val="0"/>
        <w:autoSpaceDE w:val="0"/>
        <w:autoSpaceDN w:val="0"/>
        <w:jc w:val="both"/>
      </w:pPr>
      <w:r>
        <w:t xml:space="preserve">           </w:t>
      </w:r>
      <w:r w:rsidR="00E219F6" w:rsidRPr="00FF630A">
        <w:t>Подач</w:t>
      </w:r>
      <w:r w:rsidR="00007DF8">
        <w:t>а заявок осуществляется только П</w:t>
      </w:r>
      <w:r w:rsidR="00E219F6"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00E219F6" w:rsidRPr="00FF630A">
        <w:t xml:space="preserve">ператору электронной площадки из личного кабинета претендента. </w:t>
      </w:r>
    </w:p>
    <w:p w:rsidR="00E219F6" w:rsidRPr="00FF630A" w:rsidRDefault="00FF630A" w:rsidP="00E219F6">
      <w:pPr>
        <w:widowControl w:val="0"/>
        <w:autoSpaceDE w:val="0"/>
        <w:autoSpaceDN w:val="0"/>
        <w:jc w:val="both"/>
      </w:pPr>
      <w:r>
        <w:t xml:space="preserve">       </w:t>
      </w:r>
      <w:r w:rsidR="00E219F6"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FF630A" w:rsidP="00E219F6">
      <w:pPr>
        <w:widowControl w:val="0"/>
        <w:autoSpaceDE w:val="0"/>
        <w:autoSpaceDN w:val="0"/>
        <w:jc w:val="both"/>
      </w:pPr>
      <w:r>
        <w:t xml:space="preserve">     </w:t>
      </w:r>
      <w:r w:rsidR="00E219F6" w:rsidRPr="00FF630A">
        <w:t xml:space="preserve"> Форма заявки на участие в электр</w:t>
      </w:r>
      <w:r w:rsidR="00007DF8">
        <w:t>онном аукционе устанавливается Продавцом (организатором)</w:t>
      </w:r>
      <w:r w:rsidR="00E219F6"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0" w:name="_Ref119430333"/>
      <w:r w:rsidR="00E219F6" w:rsidRPr="00FF630A">
        <w:t xml:space="preserve"> </w:t>
      </w:r>
      <w:bookmarkStart w:id="1" w:name="_Toc123405470"/>
      <w:bookmarkStart w:id="2" w:name="_Ref119429817"/>
      <w:bookmarkEnd w:id="0"/>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
      <w:bookmarkEnd w:id="2"/>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E219F6">
      <w:pPr>
        <w:widowControl w:val="0"/>
        <w:autoSpaceDE w:val="0"/>
        <w:autoSpaceDN w:val="0"/>
        <w:ind w:firstLine="540"/>
        <w:jc w:val="both"/>
      </w:pPr>
      <w:r w:rsidRPr="00FF630A">
        <w:t> 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FF630A" w:rsidP="00E219F6">
      <w:pPr>
        <w:widowControl w:val="0"/>
        <w:autoSpaceDE w:val="0"/>
        <w:autoSpaceDN w:val="0"/>
        <w:ind w:firstLine="540"/>
        <w:jc w:val="both"/>
      </w:pPr>
      <w:r>
        <w:t xml:space="preserve"> </w:t>
      </w:r>
      <w:r w:rsidR="00E219F6" w:rsidRPr="00FF630A">
        <w:t>Подача претендентом заявки являетс</w:t>
      </w:r>
      <w:r w:rsidR="004866D9">
        <w:t>я его согласием о блокировании О</w:t>
      </w:r>
      <w:r w:rsidR="00E219F6" w:rsidRPr="00FF630A">
        <w:t>ператором электронной площадки операций по счету такого претендента в отношении денежных сре</w:t>
      </w:r>
      <w:proofErr w:type="gramStart"/>
      <w:r w:rsidR="00E219F6" w:rsidRPr="00FF630A">
        <w:t>дств в р</w:t>
      </w:r>
      <w:proofErr w:type="gramEnd"/>
      <w:r w:rsidR="00E219F6"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E219F6" w:rsidP="00E219F6">
      <w:pPr>
        <w:widowControl w:val="0"/>
        <w:autoSpaceDE w:val="0"/>
        <w:autoSpaceDN w:val="0"/>
        <w:ind w:firstLine="709"/>
        <w:jc w:val="center"/>
        <w:rPr>
          <w:b/>
        </w:rPr>
      </w:pPr>
    </w:p>
    <w:p w:rsidR="00E219F6" w:rsidRPr="00FF630A" w:rsidRDefault="00393923" w:rsidP="00393923">
      <w:pPr>
        <w:widowControl w:val="0"/>
        <w:autoSpaceDE w:val="0"/>
        <w:autoSpaceDN w:val="0"/>
        <w:ind w:firstLine="709"/>
        <w:jc w:val="both"/>
      </w:pPr>
      <w:r>
        <w:t xml:space="preserve"> </w:t>
      </w:r>
      <w:r w:rsidR="00FF630A">
        <w:t>Продавец (о</w:t>
      </w:r>
      <w:r w:rsidR="00E219F6" w:rsidRPr="00FF630A">
        <w:t>рганизатор</w:t>
      </w:r>
      <w:r w:rsidR="00FF630A">
        <w:t>)</w:t>
      </w:r>
      <w:r w:rsidR="00E219F6" w:rsidRPr="00FF630A">
        <w:t xml:space="preserve"> аукциона рассматривает поступившие</w:t>
      </w:r>
      <w:r w:rsidR="00FF630A">
        <w:t xml:space="preserve"> от О</w:t>
      </w:r>
      <w:r w:rsidR="00E219F6" w:rsidRPr="00FF630A">
        <w:t>перато</w:t>
      </w:r>
      <w:r w:rsidR="00FF630A">
        <w:t>ра электронной площадки заявки П</w:t>
      </w:r>
      <w:r w:rsidR="00E219F6" w:rsidRPr="00FF630A">
        <w:t xml:space="preserve">ретендентов на участие в электронном аукционе на соответствие их </w:t>
      </w:r>
      <w:r w:rsidR="00FF630A">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lastRenderedPageBreak/>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proofErr w:type="gramStart"/>
      <w:r w:rsidR="00ED6D51">
        <w:t>не подтверждение</w:t>
      </w:r>
      <w:proofErr w:type="gramEnd"/>
      <w:r w:rsidR="00ED6D51">
        <w:t xml:space="preserve">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C7539A">
        <w:t xml:space="preserve"> </w:t>
      </w: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lastRenderedPageBreak/>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514C97" w:rsidP="00393923">
      <w:pPr>
        <w:autoSpaceDE w:val="0"/>
        <w:autoSpaceDN w:val="0"/>
        <w:adjustRightInd w:val="0"/>
        <w:ind w:firstLine="709"/>
        <w:jc w:val="both"/>
      </w:pPr>
      <w:r>
        <w:t xml:space="preserve"> </w:t>
      </w:r>
      <w:r w:rsidR="00C7539A" w:rsidRPr="00C7539A">
        <w:t>Внесенный задаток засчитывается в счет оплаты по договору на размещение НТО.</w:t>
      </w:r>
    </w:p>
    <w:p w:rsidR="00514C97" w:rsidRDefault="00514C97" w:rsidP="00393923">
      <w:pPr>
        <w:ind w:firstLine="709"/>
        <w:jc w:val="both"/>
      </w:pPr>
      <w:r>
        <w:t xml:space="preserve"> </w:t>
      </w:r>
      <w:r w:rsidR="00C7539A" w:rsidRPr="00C7539A">
        <w:t xml:space="preserve">Стороны подписывают договор на размещение НТО в простой письменной форме. </w:t>
      </w:r>
    </w:p>
    <w:p w:rsidR="00C7539A" w:rsidRPr="00C7539A" w:rsidRDefault="00514C97" w:rsidP="00393923">
      <w:pPr>
        <w:tabs>
          <w:tab w:val="left" w:pos="284"/>
          <w:tab w:val="left" w:pos="426"/>
          <w:tab w:val="left" w:pos="709"/>
        </w:tabs>
        <w:ind w:firstLine="709"/>
        <w:jc w:val="both"/>
      </w:pPr>
      <w:r>
        <w:t xml:space="preserve"> </w:t>
      </w:r>
      <w:r w:rsidR="00C7539A"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514C97" w:rsidP="00393923">
      <w:pPr>
        <w:autoSpaceDE w:val="0"/>
        <w:autoSpaceDN w:val="0"/>
        <w:adjustRightInd w:val="0"/>
        <w:ind w:firstLine="709"/>
        <w:jc w:val="both"/>
      </w:pPr>
      <w:r>
        <w:t xml:space="preserve">  </w:t>
      </w:r>
      <w:r w:rsidR="00C7539A" w:rsidRPr="00C7539A">
        <w:t>Победитель аукциона,</w:t>
      </w:r>
      <w:r>
        <w:t xml:space="preserve"> иной участник аукциона</w:t>
      </w:r>
      <w:r w:rsidR="00C7539A"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393923">
      <w:pPr>
        <w:autoSpaceDE w:val="0"/>
        <w:autoSpaceDN w:val="0"/>
        <w:adjustRightInd w:val="0"/>
        <w:ind w:firstLine="709"/>
        <w:jc w:val="both"/>
      </w:pPr>
    </w:p>
    <w:p w:rsidR="00DE385C" w:rsidRDefault="00DE385C" w:rsidP="00197E63">
      <w:pPr>
        <w:autoSpaceDE w:val="0"/>
        <w:autoSpaceDN w:val="0"/>
        <w:adjustRightInd w:val="0"/>
        <w:jc w:val="both"/>
      </w:pPr>
      <w:bookmarkStart w:id="3" w:name="_GoBack"/>
      <w:bookmarkEnd w:id="3"/>
    </w:p>
    <w:sectPr w:rsidR="00DE385C"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0831"/>
    <w:rsid w:val="00001560"/>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3075"/>
    <w:rsid w:val="001064C5"/>
    <w:rsid w:val="00107720"/>
    <w:rsid w:val="0011146A"/>
    <w:rsid w:val="001119D1"/>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2A95"/>
    <w:rsid w:val="0014360A"/>
    <w:rsid w:val="00143B83"/>
    <w:rsid w:val="00145A56"/>
    <w:rsid w:val="00146CC2"/>
    <w:rsid w:val="001479A2"/>
    <w:rsid w:val="00155022"/>
    <w:rsid w:val="00155B56"/>
    <w:rsid w:val="00160B13"/>
    <w:rsid w:val="00163075"/>
    <w:rsid w:val="0016730A"/>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97E63"/>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56D7"/>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B486D"/>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264A4"/>
    <w:rsid w:val="007277F0"/>
    <w:rsid w:val="00731D21"/>
    <w:rsid w:val="00731D7E"/>
    <w:rsid w:val="00732C6A"/>
    <w:rsid w:val="00733468"/>
    <w:rsid w:val="007342FF"/>
    <w:rsid w:val="007347F5"/>
    <w:rsid w:val="00734E20"/>
    <w:rsid w:val="00735E7E"/>
    <w:rsid w:val="007404A3"/>
    <w:rsid w:val="00740502"/>
    <w:rsid w:val="0074530A"/>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301C"/>
    <w:rsid w:val="00863875"/>
    <w:rsid w:val="00863AFC"/>
    <w:rsid w:val="00864691"/>
    <w:rsid w:val="00865F9F"/>
    <w:rsid w:val="0086660C"/>
    <w:rsid w:val="00866C22"/>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56AF"/>
    <w:rsid w:val="008B56CF"/>
    <w:rsid w:val="008B5838"/>
    <w:rsid w:val="008B5A99"/>
    <w:rsid w:val="008C00D9"/>
    <w:rsid w:val="008C014E"/>
    <w:rsid w:val="008C12C0"/>
    <w:rsid w:val="008C1446"/>
    <w:rsid w:val="008C1E54"/>
    <w:rsid w:val="008C2A1F"/>
    <w:rsid w:val="008C4CE1"/>
    <w:rsid w:val="008D0589"/>
    <w:rsid w:val="008D08F6"/>
    <w:rsid w:val="008D1DE8"/>
    <w:rsid w:val="008D3F01"/>
    <w:rsid w:val="008E10EF"/>
    <w:rsid w:val="008E17A1"/>
    <w:rsid w:val="008E1F26"/>
    <w:rsid w:val="008E202F"/>
    <w:rsid w:val="008E3E15"/>
    <w:rsid w:val="008E6414"/>
    <w:rsid w:val="008E713A"/>
    <w:rsid w:val="008F10A0"/>
    <w:rsid w:val="008F1960"/>
    <w:rsid w:val="008F22BB"/>
    <w:rsid w:val="008F5C07"/>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FED"/>
    <w:rsid w:val="009569FC"/>
    <w:rsid w:val="00960BFD"/>
    <w:rsid w:val="00962382"/>
    <w:rsid w:val="00963A81"/>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4DF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33CB"/>
    <w:rsid w:val="00A83B65"/>
    <w:rsid w:val="00A84047"/>
    <w:rsid w:val="00A873A8"/>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0491"/>
    <w:rsid w:val="00BA2420"/>
    <w:rsid w:val="00BB0C3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590D"/>
    <w:rsid w:val="00DD70B0"/>
    <w:rsid w:val="00DE0E5C"/>
    <w:rsid w:val="00DE2F74"/>
    <w:rsid w:val="00DE35DE"/>
    <w:rsid w:val="00DE385C"/>
    <w:rsid w:val="00DE5B87"/>
    <w:rsid w:val="00DE75AA"/>
    <w:rsid w:val="00DF1297"/>
    <w:rsid w:val="00DF14E4"/>
    <w:rsid w:val="00DF1733"/>
    <w:rsid w:val="00DF4966"/>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7B68"/>
    <w:rsid w:val="00F250E3"/>
    <w:rsid w:val="00F26EF8"/>
    <w:rsid w:val="00F30E18"/>
    <w:rsid w:val="00F32764"/>
    <w:rsid w:val="00F32E3F"/>
    <w:rsid w:val="00F33C35"/>
    <w:rsid w:val="00F3409B"/>
    <w:rsid w:val="00F36303"/>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65BEB"/>
    <w:rsid w:val="00F70927"/>
    <w:rsid w:val="00F7205A"/>
    <w:rsid w:val="00F736D9"/>
    <w:rsid w:val="00F75FDF"/>
    <w:rsid w:val="00F76122"/>
    <w:rsid w:val="00F82A82"/>
    <w:rsid w:val="00F8354E"/>
    <w:rsid w:val="00F83DB7"/>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6182"/>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 w:type="table" w:customStyle="1" w:styleId="11">
    <w:name w:val="Сетка таблицы1"/>
    <w:basedOn w:val="a1"/>
    <w:next w:val="aa"/>
    <w:uiPriority w:val="59"/>
    <w:rsid w:val="00DE385C"/>
    <w:rPr>
      <w:rFonts w:asciiTheme="minorHAnsi" w:eastAsiaTheme="minorEastAsia"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 w:type="table" w:customStyle="1" w:styleId="11">
    <w:name w:val="Сетка таблицы1"/>
    <w:basedOn w:val="a1"/>
    <w:next w:val="aa"/>
    <w:uiPriority w:val="59"/>
    <w:rsid w:val="00DE385C"/>
    <w:rPr>
      <w:rFonts w:asciiTheme="minorHAnsi" w:eastAsiaTheme="minorEastAsia"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hyperlink" Target="https://www.rts-tende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ts-tender.ru" TargetMode="External"/><Relationship Id="rId4" Type="http://schemas.microsoft.com/office/2007/relationships/stylesWithEffects" Target="stylesWithEffects.xml"/><Relationship Id="rId9"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7B1E-FB8F-4AAF-B531-FDA73077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3276</Words>
  <Characters>18676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21909</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KUMI_1</cp:lastModifiedBy>
  <cp:revision>4</cp:revision>
  <cp:lastPrinted>2022-04-05T05:10:00Z</cp:lastPrinted>
  <dcterms:created xsi:type="dcterms:W3CDTF">2022-04-05T00:27:00Z</dcterms:created>
  <dcterms:modified xsi:type="dcterms:W3CDTF">2022-04-05T06:00:00Z</dcterms:modified>
</cp:coreProperties>
</file>